
<file path=[Content_Types].xml><?xml version="1.0" encoding="utf-8"?>
<Types xmlns="http://schemas.openxmlformats.org/package/2006/content-types">
  <Default Extension="wmf" ContentType="image/x-w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0"/>
        <w:jc w:val="center"/>
        <w:rPr>
          <w:rFonts w:eastAsia="微软雅黑"/>
          <w:color w:val="000000"/>
          <w:sz w:val="48"/>
          <w:szCs w:val="48"/>
        </w:rPr>
      </w:pPr>
    </w:p>
    <w:p>
      <w:pPr>
        <w:ind w:firstLine="0" w:firstLineChars="0"/>
        <w:jc w:val="center"/>
        <w:rPr>
          <w:rFonts w:eastAsia="华文中宋"/>
          <w:b/>
          <w:color w:val="000000"/>
          <w:sz w:val="48"/>
          <w:szCs w:val="48"/>
        </w:rPr>
      </w:pPr>
      <w:bookmarkStart w:id="0" w:name="_Hlk221545796"/>
      <w:r>
        <w:rPr>
          <w:rFonts w:eastAsia="华文中宋"/>
          <w:b/>
          <w:color w:val="000000"/>
          <w:sz w:val="48"/>
          <w:szCs w:val="48"/>
        </w:rPr>
        <w:t>阳山县茶坑水库饮用水</w:t>
      </w:r>
      <w:r>
        <w:rPr>
          <w:rFonts w:hint="eastAsia" w:eastAsia="华文中宋"/>
          <w:b/>
          <w:color w:val="000000"/>
          <w:sz w:val="48"/>
          <w:szCs w:val="48"/>
          <w:lang w:eastAsia="zh-CN"/>
        </w:rPr>
        <w:t>水</w:t>
      </w:r>
      <w:r>
        <w:rPr>
          <w:rFonts w:eastAsia="华文中宋"/>
          <w:b/>
          <w:color w:val="000000"/>
          <w:sz w:val="48"/>
          <w:szCs w:val="48"/>
        </w:rPr>
        <w:t>源保护区</w:t>
      </w:r>
    </w:p>
    <w:p>
      <w:pPr>
        <w:ind w:firstLine="0" w:firstLineChars="0"/>
        <w:jc w:val="center"/>
        <w:rPr>
          <w:rFonts w:hint="eastAsia" w:eastAsia="华文中宋"/>
          <w:b/>
          <w:color w:val="000000"/>
          <w:sz w:val="48"/>
          <w:szCs w:val="48"/>
          <w:lang w:eastAsia="zh-CN"/>
        </w:rPr>
      </w:pPr>
      <w:r>
        <w:rPr>
          <w:rFonts w:hint="eastAsia" w:eastAsia="华文中宋"/>
          <w:b/>
          <w:color w:val="000000"/>
          <w:sz w:val="48"/>
          <w:szCs w:val="48"/>
          <w:lang w:eastAsia="zh-CN"/>
        </w:rPr>
        <w:t>优化</w:t>
      </w:r>
      <w:r>
        <w:rPr>
          <w:rFonts w:eastAsia="华文中宋"/>
          <w:b/>
          <w:color w:val="000000"/>
          <w:sz w:val="48"/>
          <w:szCs w:val="48"/>
        </w:rPr>
        <w:t>调整方案</w:t>
      </w:r>
      <w:r>
        <w:rPr>
          <w:rFonts w:hint="eastAsia" w:eastAsia="华文中宋"/>
          <w:b/>
          <w:color w:val="000000"/>
          <w:sz w:val="48"/>
          <w:szCs w:val="48"/>
          <w:lang w:eastAsia="zh-CN"/>
        </w:rPr>
        <w:t>（</w:t>
      </w:r>
      <w:r>
        <w:rPr>
          <w:rFonts w:hint="eastAsia" w:eastAsia="华文中宋"/>
          <w:b/>
          <w:color w:val="000000"/>
          <w:sz w:val="48"/>
          <w:szCs w:val="48"/>
          <w:lang w:val="en-US" w:eastAsia="zh-CN"/>
        </w:rPr>
        <w:t>征求意见稿</w:t>
      </w:r>
      <w:r>
        <w:rPr>
          <w:rFonts w:hint="eastAsia" w:eastAsia="华文中宋"/>
          <w:b/>
          <w:color w:val="000000"/>
          <w:sz w:val="48"/>
          <w:szCs w:val="48"/>
          <w:lang w:eastAsia="zh-CN"/>
        </w:rPr>
        <w:t>）</w:t>
      </w:r>
    </w:p>
    <w:bookmarkEnd w:id="0"/>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rPr>
          <w:color w:val="000000"/>
        </w:rPr>
      </w:pPr>
    </w:p>
    <w:p>
      <w:pPr>
        <w:ind w:firstLine="480"/>
        <w:jc w:val="center"/>
        <w:rPr>
          <w:color w:val="000000"/>
        </w:rPr>
      </w:pPr>
    </w:p>
    <w:p>
      <w:pPr>
        <w:ind w:firstLine="480"/>
        <w:rPr>
          <w:color w:val="000000"/>
          <w:szCs w:val="28"/>
        </w:rPr>
      </w:pPr>
    </w:p>
    <w:p>
      <w:pPr>
        <w:ind w:firstLine="480"/>
        <w:rPr>
          <w:color w:val="000000"/>
          <w:szCs w:val="28"/>
        </w:rPr>
      </w:pPr>
    </w:p>
    <w:p>
      <w:pPr>
        <w:ind w:firstLine="721"/>
        <w:jc w:val="center"/>
        <w:rPr>
          <w:rFonts w:eastAsia="华文楷体"/>
          <w:b/>
          <w:color w:val="000000"/>
          <w:sz w:val="36"/>
          <w:szCs w:val="36"/>
        </w:rPr>
      </w:pPr>
      <w:r>
        <w:rPr>
          <w:rFonts w:eastAsia="华文楷体"/>
          <w:b/>
          <w:color w:val="000000"/>
          <w:sz w:val="36"/>
          <w:szCs w:val="36"/>
        </w:rPr>
        <w:t>清远市生态环境局阳山分局</w:t>
      </w:r>
    </w:p>
    <w:p>
      <w:pPr>
        <w:ind w:firstLine="721"/>
        <w:jc w:val="center"/>
        <w:rPr>
          <w:rFonts w:eastAsia="华文楷体"/>
          <w:b/>
          <w:color w:val="000000"/>
          <w:sz w:val="36"/>
          <w:szCs w:val="36"/>
        </w:rPr>
      </w:pPr>
      <w:r>
        <w:rPr>
          <w:rFonts w:eastAsia="华文楷体"/>
          <w:b/>
          <w:color w:val="000000"/>
          <w:sz w:val="36"/>
          <w:szCs w:val="36"/>
        </w:rPr>
        <w:t>广东省环境保护工程研究设计院有限公司</w:t>
      </w:r>
    </w:p>
    <w:p>
      <w:pPr>
        <w:ind w:firstLine="721"/>
        <w:jc w:val="center"/>
        <w:rPr>
          <w:rFonts w:eastAsia="华文楷体"/>
          <w:b/>
          <w:color w:val="000000"/>
          <w:sz w:val="36"/>
          <w:szCs w:val="36"/>
        </w:rPr>
      </w:pPr>
      <w:r>
        <w:rPr>
          <w:rFonts w:eastAsia="华文楷体"/>
          <w:b/>
          <w:color w:val="000000"/>
          <w:sz w:val="36"/>
          <w:szCs w:val="36"/>
        </w:rPr>
        <w:t>二O二六年二月</w:t>
      </w:r>
    </w:p>
    <w:p>
      <w:pPr>
        <w:ind w:firstLine="482"/>
        <w:jc w:val="left"/>
        <w:rPr>
          <w:b/>
          <w:color w:val="000000"/>
          <w:szCs w:val="28"/>
        </w:rPr>
      </w:pPr>
    </w:p>
    <w:p>
      <w:pPr>
        <w:ind w:firstLine="480"/>
        <w:jc w:val="left"/>
        <w:rPr>
          <w:rFonts w:eastAsia="华文楷体"/>
          <w:b/>
          <w:color w:val="000000"/>
          <w:szCs w:val="28"/>
        </w:rPr>
        <w:sectPr>
          <w:headerReference r:id="rId7" w:type="first"/>
          <w:footerReference r:id="rId10" w:type="first"/>
          <w:headerReference r:id="rId5" w:type="default"/>
          <w:footerReference r:id="rId8" w:type="default"/>
          <w:headerReference r:id="rId6" w:type="even"/>
          <w:footerReference r:id="rId9" w:type="even"/>
          <w:pgSz w:w="11907" w:h="16840"/>
          <w:pgMar w:top="1440" w:right="1701" w:bottom="1440" w:left="1928" w:header="720" w:footer="720" w:gutter="0"/>
          <w:cols w:space="720" w:num="1" w:sep="1"/>
          <w:docGrid w:linePitch="286" w:charSpace="0"/>
        </w:sectPr>
      </w:pPr>
    </w:p>
    <w:p>
      <w:pPr>
        <w:pStyle w:val="3"/>
        <w:numPr>
          <w:ilvl w:val="0"/>
          <w:numId w:val="0"/>
        </w:numPr>
        <w:ind w:left="0" w:firstLine="0"/>
      </w:pPr>
      <w:bookmarkStart w:id="1" w:name="_Toc503455946"/>
      <w:bookmarkStart w:id="2" w:name="_Toc402194624"/>
      <w:bookmarkStart w:id="3" w:name="_Toc476818506"/>
      <w:r>
        <w:rPr>
          <w:rFonts w:hint="eastAsia"/>
          <w:lang w:val="en-US" w:eastAsia="zh-CN"/>
        </w:rPr>
        <w:t>一、</w:t>
      </w:r>
      <w:r>
        <w:t>调整原则</w:t>
      </w:r>
      <w:bookmarkEnd w:id="1"/>
      <w:bookmarkEnd w:id="2"/>
      <w:bookmarkEnd w:id="3"/>
    </w:p>
    <w:p>
      <w:pPr>
        <w:adjustRightInd w:val="0"/>
        <w:ind w:firstLine="480"/>
        <w:rPr>
          <w:b/>
          <w:bCs/>
          <w:snapToGrid w:val="0"/>
          <w:color w:val="000000"/>
          <w:kern w:val="0"/>
          <w:szCs w:val="28"/>
        </w:rPr>
      </w:pPr>
      <w:r>
        <w:rPr>
          <w:b/>
          <w:bCs/>
          <w:snapToGrid w:val="0"/>
          <w:color w:val="000000"/>
          <w:kern w:val="0"/>
          <w:szCs w:val="28"/>
        </w:rPr>
        <w:t>1</w:t>
      </w:r>
      <w:r>
        <w:rPr>
          <w:rFonts w:hint="eastAsia"/>
          <w:b/>
          <w:bCs/>
          <w:snapToGrid w:val="0"/>
          <w:color w:val="000000"/>
          <w:kern w:val="0"/>
          <w:szCs w:val="28"/>
          <w:lang w:eastAsia="zh-CN"/>
        </w:rPr>
        <w:t>.</w:t>
      </w:r>
      <w:r>
        <w:rPr>
          <w:rFonts w:hint="eastAsia"/>
          <w:b/>
          <w:bCs/>
          <w:snapToGrid w:val="0"/>
          <w:color w:val="000000"/>
          <w:kern w:val="0"/>
          <w:szCs w:val="28"/>
          <w:lang w:val="en-US" w:eastAsia="zh-CN"/>
        </w:rPr>
        <w:t>1</w:t>
      </w:r>
      <w:r>
        <w:rPr>
          <w:b/>
          <w:bCs/>
          <w:snapToGrid w:val="0"/>
          <w:color w:val="000000"/>
          <w:kern w:val="0"/>
          <w:szCs w:val="28"/>
        </w:rPr>
        <w:t>、优先保障人民群众的饮用水安全</w:t>
      </w:r>
    </w:p>
    <w:p>
      <w:pPr>
        <w:adjustRightInd w:val="0"/>
        <w:ind w:firstLine="480"/>
        <w:rPr>
          <w:snapToGrid w:val="0"/>
          <w:color w:val="000000"/>
          <w:kern w:val="0"/>
          <w:szCs w:val="28"/>
        </w:rPr>
      </w:pPr>
      <w:r>
        <w:rPr>
          <w:snapToGrid w:val="0"/>
          <w:color w:val="000000"/>
          <w:kern w:val="0"/>
          <w:szCs w:val="28"/>
        </w:rPr>
        <w:t>饮用水源保护区范围调整时，必须保证其现有功能不变，且不降低现状水质保护目标，特别是对</w:t>
      </w:r>
      <w:r>
        <w:rPr>
          <w:rFonts w:hint="eastAsia"/>
          <w:snapToGrid w:val="0"/>
          <w:lang w:eastAsia="zh-CN"/>
        </w:rPr>
        <w:t>取水口（</w:t>
      </w:r>
      <w:r>
        <w:rPr>
          <w:snapToGrid w:val="0"/>
          <w:color w:val="000000"/>
          <w:kern w:val="0"/>
          <w:szCs w:val="28"/>
        </w:rPr>
        <w:t>吸水口</w:t>
      </w:r>
      <w:r>
        <w:rPr>
          <w:rFonts w:hint="eastAsia"/>
          <w:snapToGrid w:val="0"/>
          <w:color w:val="000000"/>
          <w:kern w:val="0"/>
          <w:szCs w:val="28"/>
          <w:lang w:eastAsia="zh-CN"/>
        </w:rPr>
        <w:t>）</w:t>
      </w:r>
      <w:r>
        <w:rPr>
          <w:snapToGrid w:val="0"/>
          <w:color w:val="000000"/>
          <w:kern w:val="0"/>
          <w:szCs w:val="28"/>
        </w:rPr>
        <w:t>应进行重点保护，要求在发展经济的同时，对</w:t>
      </w:r>
      <w:r>
        <w:rPr>
          <w:rFonts w:hint="eastAsia"/>
          <w:snapToGrid w:val="0"/>
          <w:lang w:eastAsia="zh-CN"/>
        </w:rPr>
        <w:t>取水口（</w:t>
      </w:r>
      <w:r>
        <w:rPr>
          <w:snapToGrid w:val="0"/>
          <w:color w:val="000000"/>
          <w:kern w:val="0"/>
          <w:szCs w:val="28"/>
        </w:rPr>
        <w:t>吸水口</w:t>
      </w:r>
      <w:r>
        <w:rPr>
          <w:rFonts w:hint="eastAsia"/>
          <w:snapToGrid w:val="0"/>
          <w:color w:val="000000"/>
          <w:kern w:val="0"/>
          <w:szCs w:val="28"/>
          <w:lang w:eastAsia="zh-CN"/>
        </w:rPr>
        <w:t>）</w:t>
      </w:r>
      <w:r>
        <w:rPr>
          <w:snapToGrid w:val="0"/>
          <w:color w:val="000000"/>
          <w:kern w:val="0"/>
          <w:szCs w:val="28"/>
        </w:rPr>
        <w:t>的水质不构成危害，同时保证</w:t>
      </w:r>
      <w:r>
        <w:rPr>
          <w:rFonts w:hint="eastAsia"/>
          <w:snapToGrid w:val="0"/>
          <w:lang w:eastAsia="zh-CN"/>
        </w:rPr>
        <w:t>取水口（</w:t>
      </w:r>
      <w:r>
        <w:rPr>
          <w:snapToGrid w:val="0"/>
          <w:color w:val="000000"/>
          <w:kern w:val="0"/>
          <w:szCs w:val="28"/>
        </w:rPr>
        <w:t>吸水</w:t>
      </w:r>
      <w:r>
        <w:rPr>
          <w:rFonts w:hint="eastAsia"/>
          <w:snapToGrid w:val="0"/>
          <w:color w:val="000000"/>
          <w:kern w:val="0"/>
          <w:szCs w:val="28"/>
          <w:lang w:eastAsia="zh-CN"/>
        </w:rPr>
        <w:t>口）</w:t>
      </w:r>
      <w:r>
        <w:rPr>
          <w:snapToGrid w:val="0"/>
          <w:color w:val="000000"/>
          <w:kern w:val="0"/>
          <w:szCs w:val="28"/>
        </w:rPr>
        <w:t>区域的自然环境及社会环境的安全性，优先保障人民群众的饮用水安全。</w:t>
      </w:r>
    </w:p>
    <w:p>
      <w:pPr>
        <w:adjustRightInd w:val="0"/>
        <w:ind w:firstLine="480"/>
        <w:rPr>
          <w:b/>
          <w:bCs/>
          <w:snapToGrid w:val="0"/>
          <w:color w:val="000000"/>
          <w:kern w:val="0"/>
          <w:szCs w:val="28"/>
        </w:rPr>
      </w:pPr>
      <w:r>
        <w:rPr>
          <w:rFonts w:hint="eastAsia"/>
          <w:b/>
          <w:bCs/>
          <w:snapToGrid w:val="0"/>
          <w:color w:val="000000"/>
          <w:kern w:val="0"/>
          <w:szCs w:val="28"/>
          <w:lang w:val="en-US" w:eastAsia="zh-CN"/>
        </w:rPr>
        <w:t>1.</w:t>
      </w:r>
      <w:r>
        <w:rPr>
          <w:b/>
          <w:bCs/>
          <w:snapToGrid w:val="0"/>
          <w:color w:val="000000"/>
          <w:kern w:val="0"/>
          <w:szCs w:val="28"/>
        </w:rPr>
        <w:t>2、水源保护与城市发展相协调的原则</w:t>
      </w:r>
    </w:p>
    <w:p>
      <w:pPr>
        <w:adjustRightInd w:val="0"/>
        <w:ind w:firstLine="480"/>
        <w:rPr>
          <w:snapToGrid w:val="0"/>
          <w:color w:val="000000"/>
          <w:kern w:val="0"/>
          <w:szCs w:val="28"/>
        </w:rPr>
      </w:pPr>
      <w:r>
        <w:rPr>
          <w:snapToGrid w:val="0"/>
          <w:color w:val="000000"/>
          <w:kern w:val="0"/>
          <w:szCs w:val="28"/>
        </w:rPr>
        <w:t>对</w:t>
      </w:r>
      <w:r>
        <w:rPr>
          <w:rFonts w:hint="eastAsia"/>
          <w:snapToGrid w:val="0"/>
          <w:color w:val="000000"/>
          <w:kern w:val="0"/>
          <w:szCs w:val="28"/>
        </w:rPr>
        <w:t>阳山</w:t>
      </w:r>
      <w:r>
        <w:rPr>
          <w:snapToGrid w:val="0"/>
          <w:color w:val="000000"/>
          <w:kern w:val="0"/>
          <w:szCs w:val="28"/>
        </w:rPr>
        <w:t>县城饮用水源保护区范围进行优化调整时，要充分考虑到涉及调整的水源保护区的自然环境特点、水环境现状，区域水资源开发利用现状以及城市发展规划，实现开发利用程度与环境容量和水资源承载能力保持一致，遵循统一规划、合理布局、因地制宜，局部服从全局，近期计划与长远规划相协调，从经济发展的总体战略和布局规划出发，做到社会、经济和环境效益的协调统一，兼顾上、下游和左、右岸的利益。</w:t>
      </w:r>
    </w:p>
    <w:p>
      <w:pPr>
        <w:adjustRightInd w:val="0"/>
        <w:ind w:firstLine="480"/>
        <w:rPr>
          <w:b/>
          <w:bCs/>
          <w:snapToGrid w:val="0"/>
          <w:color w:val="000000"/>
          <w:kern w:val="0"/>
          <w:szCs w:val="28"/>
        </w:rPr>
      </w:pPr>
      <w:r>
        <w:rPr>
          <w:rFonts w:hint="eastAsia"/>
          <w:b/>
          <w:bCs/>
          <w:snapToGrid w:val="0"/>
          <w:color w:val="000000"/>
          <w:kern w:val="0"/>
          <w:szCs w:val="28"/>
          <w:lang w:val="en-US" w:eastAsia="zh-CN"/>
        </w:rPr>
        <w:t>1.</w:t>
      </w:r>
      <w:r>
        <w:rPr>
          <w:b/>
          <w:bCs/>
          <w:snapToGrid w:val="0"/>
          <w:color w:val="000000"/>
          <w:kern w:val="0"/>
          <w:szCs w:val="28"/>
        </w:rPr>
        <w:t>3、确保现有功能和现状水质保护目标不变的原则</w:t>
      </w:r>
    </w:p>
    <w:p>
      <w:pPr>
        <w:adjustRightInd w:val="0"/>
        <w:ind w:firstLine="480"/>
        <w:rPr>
          <w:snapToGrid w:val="0"/>
          <w:color w:val="000000"/>
          <w:kern w:val="0"/>
          <w:szCs w:val="28"/>
        </w:rPr>
      </w:pPr>
      <w:r>
        <w:rPr>
          <w:snapToGrid w:val="0"/>
          <w:color w:val="000000"/>
          <w:kern w:val="0"/>
          <w:szCs w:val="28"/>
        </w:rPr>
        <w:t>水源保护区范围调整时，必须保证其现有功能不变，且不降低现状水质保护目标，特别是对</w:t>
      </w:r>
      <w:r>
        <w:rPr>
          <w:rFonts w:hint="eastAsia"/>
          <w:snapToGrid w:val="0"/>
          <w:lang w:eastAsia="zh-CN"/>
        </w:rPr>
        <w:t>取水口（</w:t>
      </w:r>
      <w:r>
        <w:rPr>
          <w:snapToGrid w:val="0"/>
          <w:color w:val="000000"/>
          <w:kern w:val="0"/>
          <w:szCs w:val="28"/>
        </w:rPr>
        <w:t>吸水口</w:t>
      </w:r>
      <w:r>
        <w:rPr>
          <w:rFonts w:hint="eastAsia"/>
          <w:snapToGrid w:val="0"/>
          <w:color w:val="000000"/>
          <w:kern w:val="0"/>
          <w:szCs w:val="28"/>
          <w:lang w:eastAsia="zh-CN"/>
        </w:rPr>
        <w:t>）</w:t>
      </w:r>
      <w:r>
        <w:rPr>
          <w:snapToGrid w:val="0"/>
          <w:color w:val="000000"/>
          <w:kern w:val="0"/>
          <w:szCs w:val="28"/>
        </w:rPr>
        <w:t>应进行重点保护，要求在发展经济的同时，不构成对</w:t>
      </w:r>
      <w:r>
        <w:rPr>
          <w:rFonts w:hint="eastAsia"/>
          <w:snapToGrid w:val="0"/>
          <w:lang w:eastAsia="zh-CN"/>
        </w:rPr>
        <w:t>取水口（</w:t>
      </w:r>
      <w:r>
        <w:rPr>
          <w:snapToGrid w:val="0"/>
          <w:color w:val="000000"/>
          <w:kern w:val="0"/>
          <w:szCs w:val="28"/>
        </w:rPr>
        <w:t>吸水口</w:t>
      </w:r>
      <w:r>
        <w:rPr>
          <w:rFonts w:hint="eastAsia"/>
          <w:snapToGrid w:val="0"/>
          <w:color w:val="000000"/>
          <w:kern w:val="0"/>
          <w:szCs w:val="28"/>
          <w:lang w:eastAsia="zh-CN"/>
        </w:rPr>
        <w:t>）</w:t>
      </w:r>
      <w:r>
        <w:rPr>
          <w:snapToGrid w:val="0"/>
          <w:color w:val="000000"/>
          <w:kern w:val="0"/>
          <w:szCs w:val="28"/>
        </w:rPr>
        <w:t>的水质造成危害，同时保证</w:t>
      </w:r>
      <w:r>
        <w:rPr>
          <w:rFonts w:hint="eastAsia"/>
          <w:snapToGrid w:val="0"/>
          <w:lang w:eastAsia="zh-CN"/>
        </w:rPr>
        <w:t>取水口（</w:t>
      </w:r>
      <w:r>
        <w:rPr>
          <w:snapToGrid w:val="0"/>
          <w:color w:val="000000"/>
          <w:kern w:val="0"/>
          <w:szCs w:val="28"/>
        </w:rPr>
        <w:t>吸水</w:t>
      </w:r>
      <w:r>
        <w:rPr>
          <w:rFonts w:hint="eastAsia"/>
          <w:snapToGrid w:val="0"/>
          <w:color w:val="000000"/>
          <w:kern w:val="0"/>
          <w:szCs w:val="28"/>
          <w:lang w:eastAsia="zh-CN"/>
        </w:rPr>
        <w:t>口）</w:t>
      </w:r>
      <w:r>
        <w:rPr>
          <w:snapToGrid w:val="0"/>
          <w:color w:val="000000"/>
          <w:kern w:val="0"/>
          <w:szCs w:val="28"/>
        </w:rPr>
        <w:t>区域的自然环境及社会环境的安全性。</w:t>
      </w:r>
    </w:p>
    <w:p>
      <w:pPr>
        <w:adjustRightInd w:val="0"/>
        <w:ind w:firstLine="480"/>
        <w:rPr>
          <w:b/>
          <w:bCs/>
          <w:snapToGrid w:val="0"/>
          <w:color w:val="000000"/>
          <w:kern w:val="0"/>
          <w:szCs w:val="28"/>
        </w:rPr>
      </w:pPr>
      <w:r>
        <w:rPr>
          <w:rFonts w:hint="eastAsia"/>
          <w:b/>
          <w:bCs/>
          <w:snapToGrid w:val="0"/>
          <w:color w:val="000000"/>
          <w:kern w:val="0"/>
          <w:szCs w:val="28"/>
          <w:lang w:val="en-US" w:eastAsia="zh-CN"/>
        </w:rPr>
        <w:t>1.</w:t>
      </w:r>
      <w:r>
        <w:rPr>
          <w:b/>
          <w:bCs/>
          <w:snapToGrid w:val="0"/>
          <w:color w:val="000000"/>
          <w:kern w:val="0"/>
          <w:szCs w:val="28"/>
        </w:rPr>
        <w:t>4、与管要求理相配套的原则</w:t>
      </w:r>
    </w:p>
    <w:p>
      <w:pPr>
        <w:adjustRightInd w:val="0"/>
        <w:ind w:firstLine="480"/>
        <w:rPr>
          <w:snapToGrid w:val="0"/>
          <w:color w:val="000000"/>
          <w:kern w:val="0"/>
          <w:szCs w:val="28"/>
        </w:rPr>
      </w:pPr>
      <w:r>
        <w:rPr>
          <w:snapToGrid w:val="0"/>
          <w:color w:val="000000"/>
          <w:kern w:val="0"/>
          <w:szCs w:val="28"/>
        </w:rPr>
        <w:t>饮用水源保护区范围大小必须与相应法律法规的要求相对应，调整原则是使水源保护的重要区域范围更为合理，即范围合理适当，措施严格可控。</w:t>
      </w:r>
    </w:p>
    <w:p>
      <w:pPr>
        <w:pStyle w:val="3"/>
        <w:numPr>
          <w:ilvl w:val="0"/>
          <w:numId w:val="0"/>
        </w:numPr>
        <w:ind w:leftChars="0"/>
      </w:pPr>
      <w:bookmarkStart w:id="4" w:name="_Toc402194625"/>
      <w:bookmarkStart w:id="5" w:name="_Toc476818507"/>
      <w:bookmarkStart w:id="6" w:name="_Toc503455947"/>
      <w:r>
        <w:rPr>
          <w:rFonts w:hint="eastAsia"/>
          <w:lang w:val="en-US" w:eastAsia="zh-CN"/>
        </w:rPr>
        <w:t>二、</w:t>
      </w:r>
      <w:r>
        <w:t>饮用水水源保护区划分方法</w:t>
      </w:r>
      <w:bookmarkEnd w:id="4"/>
      <w:bookmarkEnd w:id="5"/>
      <w:bookmarkEnd w:id="6"/>
    </w:p>
    <w:p>
      <w:pPr>
        <w:pStyle w:val="4"/>
        <w:numPr>
          <w:ilvl w:val="0"/>
          <w:numId w:val="0"/>
        </w:numPr>
        <w:ind w:leftChars="200"/>
      </w:pPr>
      <w:bookmarkStart w:id="7" w:name="_Toc503455948"/>
      <w:bookmarkStart w:id="8" w:name="_Toc476818508"/>
      <w:r>
        <w:rPr>
          <w:rFonts w:hint="eastAsia"/>
          <w:lang w:val="en-US" w:eastAsia="zh-CN"/>
        </w:rPr>
        <w:t>2.1</w:t>
      </w:r>
      <w:r>
        <w:t>《饮用水水源保护区划分技术规范》（HJ338-2018）</w:t>
      </w:r>
      <w:bookmarkEnd w:id="7"/>
      <w:bookmarkEnd w:id="8"/>
    </w:p>
    <w:p>
      <w:pPr>
        <w:autoSpaceDE w:val="0"/>
        <w:autoSpaceDN w:val="0"/>
        <w:adjustRightInd w:val="0"/>
        <w:ind w:firstLine="480"/>
        <w:rPr>
          <w:snapToGrid w:val="0"/>
          <w:color w:val="000000"/>
          <w:kern w:val="0"/>
          <w:szCs w:val="28"/>
        </w:rPr>
      </w:pPr>
      <w:r>
        <w:rPr>
          <w:snapToGrid w:val="0"/>
          <w:color w:val="000000"/>
          <w:kern w:val="0"/>
          <w:szCs w:val="28"/>
        </w:rPr>
        <w:t>根据《饮用水水源保护区划分技术规范》（HJ338-2018），指为防止饮用水水源地污染、保证水源水质而划定，并要求加以特殊保护的一定范围的水域和陆域。根据水源保护区环境特征和水源保护区的重要性，地表水饮用水水源保护区分为一级保护区和二级保护区，必要时可在二级保护区范围外设置准保护区。</w:t>
      </w:r>
    </w:p>
    <w:p>
      <w:pPr>
        <w:autoSpaceDE w:val="0"/>
        <w:autoSpaceDN w:val="0"/>
        <w:adjustRightInd w:val="0"/>
        <w:ind w:firstLine="480"/>
        <w:rPr>
          <w:b/>
          <w:bCs/>
          <w:snapToGrid w:val="0"/>
          <w:color w:val="000000"/>
          <w:kern w:val="0"/>
          <w:szCs w:val="28"/>
        </w:rPr>
      </w:pPr>
      <w:r>
        <w:rPr>
          <w:rFonts w:hint="eastAsia"/>
          <w:b/>
          <w:bCs/>
          <w:snapToGrid w:val="0"/>
          <w:color w:val="000000"/>
          <w:kern w:val="0"/>
          <w:szCs w:val="28"/>
          <w:lang w:val="en-US" w:eastAsia="zh-CN"/>
        </w:rPr>
        <w:t>2.1.</w:t>
      </w:r>
      <w:r>
        <w:rPr>
          <w:b/>
          <w:bCs/>
          <w:snapToGrid w:val="0"/>
          <w:color w:val="000000"/>
          <w:kern w:val="0"/>
          <w:szCs w:val="28"/>
        </w:rPr>
        <w:t>1、划分的一般技术原则</w:t>
      </w:r>
    </w:p>
    <w:p>
      <w:pPr>
        <w:autoSpaceDE w:val="0"/>
        <w:autoSpaceDN w:val="0"/>
        <w:adjustRightInd w:val="0"/>
        <w:ind w:firstLine="480"/>
        <w:rPr>
          <w:snapToGrid w:val="0"/>
          <w:color w:val="000000"/>
          <w:kern w:val="0"/>
          <w:szCs w:val="28"/>
        </w:rPr>
      </w:pPr>
      <w:r>
        <w:rPr>
          <w:snapToGrid w:val="0"/>
          <w:color w:val="000000"/>
          <w:kern w:val="0"/>
          <w:szCs w:val="28"/>
        </w:rPr>
        <w:t>（1）饮用水水源保护区划分应考虑以下因素：确定饮用水水源保护区划分应考虑以下因素：水源地的地理位置、水文、气象、地质特征、水动力特性、水域污染类型、污染特征、污染源分布、排水区分布、水源地规模、水量需求、航运资源和需求、社会经济发展规模和环境管理水平等。</w:t>
      </w:r>
    </w:p>
    <w:p>
      <w:pPr>
        <w:autoSpaceDE w:val="0"/>
        <w:autoSpaceDN w:val="0"/>
        <w:adjustRightInd w:val="0"/>
        <w:ind w:firstLine="480"/>
        <w:rPr>
          <w:snapToGrid w:val="0"/>
          <w:color w:val="000000"/>
          <w:kern w:val="0"/>
          <w:szCs w:val="28"/>
        </w:rPr>
      </w:pPr>
      <w:r>
        <w:rPr>
          <w:snapToGrid w:val="0"/>
          <w:color w:val="000000"/>
          <w:kern w:val="0"/>
          <w:szCs w:val="28"/>
        </w:rPr>
        <w:t>（2）划定的饮用水水源一级保护区，应防止水源地附近人类活动对水源的直接污染；划定的饮用水水源二级保护区，应足以使所选定的主要污染物在向取水点（或开采井、井群）输移（或运移）过程中，衰减到所期望的浓度水平；在正常情况下可保证取水水质达到规定要求；一旦出现污染水源的突发事件，有采取紧急补救措施的时间和缓冲地带。</w:t>
      </w:r>
    </w:p>
    <w:p>
      <w:pPr>
        <w:autoSpaceDE w:val="0"/>
        <w:autoSpaceDN w:val="0"/>
        <w:adjustRightInd w:val="0"/>
        <w:ind w:firstLine="480"/>
        <w:rPr>
          <w:snapToGrid w:val="0"/>
          <w:color w:val="000000"/>
          <w:kern w:val="0"/>
          <w:szCs w:val="28"/>
        </w:rPr>
      </w:pPr>
      <w:r>
        <w:rPr>
          <w:snapToGrid w:val="0"/>
          <w:color w:val="000000"/>
          <w:kern w:val="0"/>
          <w:szCs w:val="28"/>
        </w:rPr>
        <w:t>（3）划定的水源保护区范围，应以确保饮用水水源水质不受污染为前提，以便于实施环境管理为原则。</w:t>
      </w:r>
    </w:p>
    <w:p>
      <w:pPr>
        <w:autoSpaceDE w:val="0"/>
        <w:autoSpaceDN w:val="0"/>
        <w:adjustRightInd w:val="0"/>
        <w:ind w:firstLine="480"/>
        <w:rPr>
          <w:b/>
          <w:bCs/>
          <w:snapToGrid w:val="0"/>
          <w:color w:val="000000"/>
          <w:kern w:val="0"/>
          <w:szCs w:val="28"/>
        </w:rPr>
      </w:pPr>
      <w:r>
        <w:rPr>
          <w:rFonts w:hint="eastAsia"/>
          <w:b/>
          <w:bCs/>
          <w:snapToGrid w:val="0"/>
          <w:color w:val="000000"/>
          <w:kern w:val="0"/>
          <w:szCs w:val="28"/>
          <w:lang w:val="en-US" w:eastAsia="zh-CN"/>
        </w:rPr>
        <w:t>2.1.</w:t>
      </w:r>
      <w:r>
        <w:rPr>
          <w:b/>
          <w:bCs/>
          <w:snapToGrid w:val="0"/>
          <w:color w:val="000000"/>
          <w:kern w:val="0"/>
          <w:szCs w:val="28"/>
        </w:rPr>
        <w:t>2、饮用水水源保护区的划分方法</w:t>
      </w:r>
    </w:p>
    <w:p>
      <w:pPr>
        <w:autoSpaceDE w:val="0"/>
        <w:autoSpaceDN w:val="0"/>
        <w:adjustRightInd w:val="0"/>
        <w:ind w:firstLine="480"/>
        <w:rPr>
          <w:snapToGrid w:val="0"/>
          <w:color w:val="000000"/>
          <w:kern w:val="0"/>
          <w:szCs w:val="28"/>
        </w:rPr>
      </w:pPr>
      <w:r>
        <w:rPr>
          <w:snapToGrid w:val="0"/>
          <w:color w:val="000000"/>
          <w:kern w:val="0"/>
          <w:szCs w:val="28"/>
        </w:rPr>
        <w:t>（1）保护区水域划分方法</w:t>
      </w:r>
    </w:p>
    <w:p>
      <w:pPr>
        <w:ind w:firstLine="480"/>
        <w:rPr>
          <w:rFonts w:hint="eastAsia" w:ascii="Cambria Math" w:hAnsi="Cambria Math" w:cs="Cambria Math"/>
          <w:color w:val="000000"/>
          <w:szCs w:val="28"/>
        </w:rPr>
      </w:pPr>
      <w:r>
        <w:rPr>
          <w:rFonts w:hint="eastAsia" w:ascii="Cambria Math" w:hAnsi="Cambria Math" w:cs="Cambria Math"/>
          <w:color w:val="000000"/>
          <w:szCs w:val="28"/>
        </w:rPr>
        <w:t>水源保护区水域的划分有类比经验法、应急响应时间法、数值模型计算法3种方法。陆域的划分有类比经验法、地形边界法、缓冲区法3种方法。</w:t>
      </w:r>
    </w:p>
    <w:p>
      <w:pPr>
        <w:ind w:firstLine="480"/>
        <w:rPr>
          <w:rFonts w:ascii="Cambria Math" w:hAnsi="Cambria Math" w:cs="Cambria Math"/>
          <w:color w:val="000000"/>
          <w:szCs w:val="28"/>
        </w:rPr>
      </w:pPr>
      <w:r>
        <w:rPr>
          <w:rFonts w:hint="eastAsia" w:ascii="Cambria Math" w:hAnsi="Cambria Math" w:cs="Cambria Math"/>
          <w:color w:val="000000"/>
          <w:szCs w:val="28"/>
        </w:rPr>
        <w:t>当几种方法得到不完全相同的划分结果时，可以结合水源地区域开发、自然环境条件确定合理范围。</w:t>
      </w:r>
    </w:p>
    <w:p>
      <w:pPr>
        <w:ind w:firstLine="480"/>
        <w:rPr>
          <w:color w:val="000000"/>
          <w:szCs w:val="28"/>
        </w:rPr>
      </w:pPr>
      <w:r>
        <w:rPr>
          <w:rFonts w:ascii="Cambria Math" w:hAnsi="Cambria Math" w:cs="Cambria Math"/>
          <w:color w:val="000000"/>
          <w:szCs w:val="28"/>
        </w:rPr>
        <w:t>①</w:t>
      </w:r>
      <w:r>
        <w:rPr>
          <w:color w:val="000000"/>
          <w:szCs w:val="28"/>
        </w:rPr>
        <w:t>类比经验法</w:t>
      </w:r>
    </w:p>
    <w:p>
      <w:pPr>
        <w:ind w:firstLine="480"/>
        <w:rPr>
          <w:color w:val="000000"/>
          <w:szCs w:val="28"/>
        </w:rPr>
      </w:pPr>
      <w:r>
        <w:rPr>
          <w:color w:val="000000"/>
          <w:szCs w:val="28"/>
        </w:rPr>
        <w:t>按照相关法规、文件规定、依据统计结果和管理者的实践经验，确定保护区范围的一种方法。</w:t>
      </w:r>
    </w:p>
    <w:p>
      <w:pPr>
        <w:ind w:firstLine="480"/>
        <w:rPr>
          <w:color w:val="000000"/>
          <w:szCs w:val="28"/>
        </w:rPr>
      </w:pPr>
      <w:r>
        <w:rPr>
          <w:color w:val="000000"/>
          <w:szCs w:val="28"/>
        </w:rPr>
        <w:t>采用该方法划分保护区，水源地必须满足以下条件：水源地现状水质达标、主要污染类型为面源污染，且上游 24 个小时流程时间内无重大风险源，风险源分级方法参见 HJ 941。</w:t>
      </w:r>
    </w:p>
    <w:p>
      <w:pPr>
        <w:ind w:firstLine="480"/>
        <w:rPr>
          <w:color w:val="000000"/>
          <w:szCs w:val="28"/>
        </w:rPr>
      </w:pPr>
      <w:r>
        <w:rPr>
          <w:color w:val="000000"/>
          <w:szCs w:val="28"/>
        </w:rPr>
        <w:t>采用类比经验法划分保护区后，应定期开展跟踪监测。若发现划分结果不合理，应及时予以调整。</w:t>
      </w:r>
    </w:p>
    <w:p>
      <w:pPr>
        <w:ind w:firstLine="480"/>
        <w:rPr>
          <w:color w:val="000000"/>
          <w:szCs w:val="28"/>
          <w:lang w:val="zh-CN"/>
        </w:rPr>
      </w:pPr>
      <w:r>
        <w:rPr>
          <w:rFonts w:ascii="Cambria Math" w:hAnsi="Cambria Math" w:cs="Cambria Math"/>
          <w:color w:val="000000"/>
          <w:szCs w:val="28"/>
          <w:lang w:val="zh-CN"/>
        </w:rPr>
        <w:t>②</w:t>
      </w:r>
      <w:r>
        <w:rPr>
          <w:color w:val="000000"/>
          <w:szCs w:val="28"/>
          <w:lang w:val="zh-CN"/>
        </w:rPr>
        <w:t>应急响应时间法</w:t>
      </w:r>
    </w:p>
    <w:p>
      <w:pPr>
        <w:ind w:firstLine="480"/>
        <w:rPr>
          <w:color w:val="000000"/>
          <w:szCs w:val="28"/>
          <w:lang w:val="zh-CN"/>
        </w:rPr>
      </w:pPr>
      <w:r>
        <w:rPr>
          <w:color w:val="000000"/>
          <w:szCs w:val="28"/>
          <w:lang w:val="zh-CN"/>
        </w:rPr>
        <w:t>以应急响应时间内，污染物到取水口的流程距离作为保护区的长度的一种计算方法。适用于河流型水源及湖泊、水库型水源入湖（库）支流的水域保护区划分。保护区上边界的水域距离计算公式为</w:t>
      </w:r>
    </w:p>
    <w:p>
      <w:pPr>
        <w:widowControl/>
        <w:ind w:firstLine="480"/>
        <w:jc w:val="center"/>
        <w:rPr>
          <w:color w:val="000000"/>
          <w:szCs w:val="28"/>
          <w:lang w:val="zh-CN"/>
        </w:rPr>
      </w:pPr>
      <w:r>
        <w:rPr>
          <w:color w:val="000000"/>
          <w:szCs w:val="28"/>
        </w:rPr>
        <w:drawing>
          <wp:inline distT="0" distB="0" distL="0" distR="0">
            <wp:extent cx="776605" cy="439420"/>
            <wp:effectExtent l="0" t="0" r="635" b="1905"/>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14" cstate="print"/>
                    <a:srcRect/>
                    <a:stretch>
                      <a:fillRect/>
                    </a:stretch>
                  </pic:blipFill>
                  <pic:spPr>
                    <a:xfrm>
                      <a:off x="0" y="0"/>
                      <a:ext cx="776605" cy="440054"/>
                    </a:xfrm>
                    <a:prstGeom prst="rect">
                      <a:avLst/>
                    </a:prstGeom>
                    <a:ln>
                      <a:noFill/>
                    </a:ln>
                  </pic:spPr>
                </pic:pic>
              </a:graphicData>
            </a:graphic>
          </wp:inline>
        </w:drawing>
      </w:r>
    </w:p>
    <w:p>
      <w:pPr>
        <w:widowControl/>
        <w:ind w:firstLine="480"/>
        <w:rPr>
          <w:color w:val="000000"/>
          <w:szCs w:val="28"/>
          <w:lang w:val="zh-CN"/>
        </w:rPr>
      </w:pPr>
      <w:r>
        <w:rPr>
          <w:color w:val="000000"/>
          <w:szCs w:val="28"/>
          <w:lang w:val="zh-CN"/>
        </w:rPr>
        <w:t>式中，S——为保护区水域长度，m；</w:t>
      </w:r>
      <w:r>
        <w:rPr>
          <w:i/>
          <w:color w:val="000000"/>
          <w:szCs w:val="28"/>
          <w:lang w:val="zh-CN"/>
        </w:rPr>
        <w:t>T</w:t>
      </w:r>
      <w:r>
        <w:rPr>
          <w:i/>
          <w:color w:val="000000"/>
          <w:szCs w:val="28"/>
          <w:vertAlign w:val="subscript"/>
          <w:lang w:val="zh-CN"/>
        </w:rPr>
        <w:t>i</w:t>
      </w:r>
      <w:r>
        <w:rPr>
          <w:color w:val="000000"/>
          <w:szCs w:val="28"/>
          <w:lang w:val="zh-CN"/>
        </w:rPr>
        <w:t>——从取水口向上游计算，第i河段污染物迁移的时间，s；</w:t>
      </w:r>
      <w:r>
        <w:rPr>
          <w:i/>
          <w:color w:val="000000"/>
          <w:szCs w:val="28"/>
          <w:lang w:val="zh-CN"/>
        </w:rPr>
        <w:t>V</w:t>
      </w:r>
      <w:r>
        <w:rPr>
          <w:i/>
          <w:color w:val="000000"/>
          <w:szCs w:val="28"/>
          <w:vertAlign w:val="subscript"/>
          <w:lang w:val="zh-CN"/>
        </w:rPr>
        <w:t>i</w:t>
      </w:r>
      <w:r>
        <w:rPr>
          <w:color w:val="000000"/>
          <w:szCs w:val="28"/>
          <w:lang w:val="zh-CN"/>
        </w:rPr>
        <w:t>——第i河段平水期多年平均径流量下的流速，m/s。</w:t>
      </w:r>
    </w:p>
    <w:p>
      <w:pPr>
        <w:ind w:firstLine="480"/>
        <w:rPr>
          <w:color w:val="000000"/>
          <w:szCs w:val="28"/>
          <w:lang w:val="zh-CN"/>
        </w:rPr>
      </w:pPr>
      <w:r>
        <w:rPr>
          <w:color w:val="000000"/>
          <w:szCs w:val="28"/>
          <w:lang w:val="zh-CN"/>
        </w:rPr>
        <w:t>当饮用水水源上游点源分布较为密集或主要污染物为难降解的重金属或有毒有机物时，应采用应急响应时间法。采用应急响应时间法时，应急响应时间的长短，应依据当地应对突发环境事件的能力确定，应急响应时间一般不小于2h。其计算公式为：</w:t>
      </w:r>
    </w:p>
    <w:p>
      <w:pPr>
        <w:ind w:firstLine="480"/>
        <w:jc w:val="center"/>
        <w:rPr>
          <w:color w:val="000000"/>
          <w:szCs w:val="28"/>
          <w:lang w:val="zh-CN"/>
        </w:rPr>
      </w:pPr>
      <w:r>
        <w:rPr>
          <w:color w:val="000000"/>
          <w:szCs w:val="28"/>
        </w:rPr>
        <w:drawing>
          <wp:inline distT="0" distB="0" distL="0" distR="0">
            <wp:extent cx="1052195" cy="439420"/>
            <wp:effectExtent l="0" t="0" r="0" b="1905"/>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5" cstate="print"/>
                    <a:srcRect/>
                    <a:stretch>
                      <a:fillRect/>
                    </a:stretch>
                  </pic:blipFill>
                  <pic:spPr>
                    <a:xfrm>
                      <a:off x="0" y="0"/>
                      <a:ext cx="1052195" cy="440054"/>
                    </a:xfrm>
                    <a:prstGeom prst="rect">
                      <a:avLst/>
                    </a:prstGeom>
                    <a:ln>
                      <a:noFill/>
                    </a:ln>
                  </pic:spPr>
                </pic:pic>
              </a:graphicData>
            </a:graphic>
          </wp:inline>
        </w:drawing>
      </w:r>
    </w:p>
    <w:p>
      <w:pPr>
        <w:widowControl/>
        <w:ind w:firstLine="480"/>
        <w:rPr>
          <w:color w:val="000000"/>
          <w:szCs w:val="28"/>
          <w:lang w:val="zh-CN"/>
        </w:rPr>
      </w:pPr>
      <w:r>
        <w:rPr>
          <w:color w:val="000000"/>
          <w:szCs w:val="28"/>
          <w:lang w:val="zh-CN"/>
        </w:rPr>
        <w:t>式中，</w:t>
      </w:r>
      <w:r>
        <w:rPr>
          <w:i/>
          <w:color w:val="000000"/>
          <w:szCs w:val="28"/>
          <w:lang w:val="zh-CN"/>
        </w:rPr>
        <w:t>T</w:t>
      </w:r>
      <w:r>
        <w:rPr>
          <w:color w:val="000000"/>
          <w:szCs w:val="28"/>
          <w:lang w:val="zh-CN"/>
        </w:rPr>
        <w:t>——应急响应时间，s；</w:t>
      </w:r>
      <w:r>
        <w:rPr>
          <w:i/>
          <w:color w:val="000000"/>
          <w:szCs w:val="28"/>
          <w:lang w:val="zh-CN"/>
        </w:rPr>
        <w:t>T</w:t>
      </w:r>
      <w:r>
        <w:rPr>
          <w:i/>
          <w:color w:val="000000"/>
          <w:szCs w:val="28"/>
          <w:vertAlign w:val="subscript"/>
          <w:lang w:val="zh-CN"/>
        </w:rPr>
        <w:t>0</w:t>
      </w:r>
      <w:r>
        <w:rPr>
          <w:color w:val="000000"/>
          <w:szCs w:val="28"/>
          <w:lang w:val="zh-CN"/>
        </w:rPr>
        <w:t>——污染物流入最近河段的时间，s。</w:t>
      </w:r>
    </w:p>
    <w:p>
      <w:pPr>
        <w:ind w:firstLine="480"/>
        <w:rPr>
          <w:color w:val="000000"/>
          <w:szCs w:val="28"/>
          <w:lang w:val="zh-CN"/>
        </w:rPr>
      </w:pPr>
      <w:r>
        <w:rPr>
          <w:color w:val="000000"/>
          <w:szCs w:val="28"/>
          <w:lang w:val="zh-CN"/>
        </w:rPr>
        <w:t>二级保护区水域长度范围采用应急响应时间法时，二级保护区的边界，是以一级保护区上游边界为起点，一定响应时间内的流程距离。应急响应时间可根据水源地所在地区的应急能力状况确定，一般不小于2h。</w:t>
      </w:r>
    </w:p>
    <w:p>
      <w:pPr>
        <w:ind w:firstLine="480"/>
        <w:rPr>
          <w:color w:val="000000"/>
          <w:szCs w:val="28"/>
          <w:lang w:val="zh-CN"/>
        </w:rPr>
      </w:pPr>
      <w:r>
        <w:rPr>
          <w:rFonts w:ascii="Cambria Math" w:hAnsi="Cambria Math" w:cs="Cambria Math"/>
          <w:color w:val="000000"/>
          <w:szCs w:val="28"/>
          <w:lang w:val="zh-CN"/>
        </w:rPr>
        <w:t>③</w:t>
      </w:r>
      <w:r>
        <w:rPr>
          <w:color w:val="000000"/>
          <w:szCs w:val="28"/>
          <w:lang w:val="zh-CN"/>
        </w:rPr>
        <w:t>数值模型计算法</w:t>
      </w:r>
    </w:p>
    <w:p>
      <w:pPr>
        <w:ind w:firstLine="480"/>
        <w:rPr>
          <w:color w:val="000000"/>
          <w:szCs w:val="28"/>
          <w:lang w:val="zh-CN"/>
        </w:rPr>
      </w:pPr>
      <w:r>
        <w:rPr>
          <w:color w:val="000000"/>
          <w:szCs w:val="28"/>
          <w:lang w:val="zh-CN"/>
        </w:rPr>
        <w:t>以主要污染物浓度衰减到目标水质所需要的距离确定保护区范围的一种方法。小型、边界条件简单的水域可采用解析解进行计算。大型、边界条件复杂的水域采用数值解，需采用二维水质模型计算确定，二维水质模型及其求解方法参见HJ338-2018附录C。</w:t>
      </w:r>
    </w:p>
    <w:p>
      <w:pPr>
        <w:autoSpaceDE w:val="0"/>
        <w:autoSpaceDN w:val="0"/>
        <w:adjustRightInd w:val="0"/>
        <w:ind w:firstLine="480"/>
        <w:rPr>
          <w:color w:val="000000"/>
          <w:szCs w:val="28"/>
          <w:lang w:val="zh-CN"/>
        </w:rPr>
      </w:pPr>
      <w:r>
        <w:rPr>
          <w:color w:val="000000"/>
          <w:szCs w:val="28"/>
          <w:lang w:val="zh-CN"/>
        </w:rPr>
        <w:t>当上游污染源以城镇生活、面源为主，且主要污染物属于可降解物质时，应采用数值模型法。采用数值模型计算法时，其水域范围应大于污染物从现状水质浓度水平，衰减到GB3838相关水质标准浓度所需的距离。</w:t>
      </w:r>
    </w:p>
    <w:p>
      <w:pPr>
        <w:autoSpaceDE w:val="0"/>
        <w:autoSpaceDN w:val="0"/>
        <w:adjustRightInd w:val="0"/>
        <w:ind w:firstLine="480"/>
        <w:rPr>
          <w:snapToGrid w:val="0"/>
          <w:color w:val="000000"/>
          <w:kern w:val="0"/>
          <w:szCs w:val="28"/>
        </w:rPr>
      </w:pPr>
      <w:r>
        <w:rPr>
          <w:snapToGrid w:val="0"/>
          <w:color w:val="000000"/>
          <w:kern w:val="0"/>
          <w:szCs w:val="28"/>
        </w:rPr>
        <w:t>（2）保护区陆域划分方法</w:t>
      </w:r>
    </w:p>
    <w:p>
      <w:pPr>
        <w:ind w:firstLine="480"/>
        <w:rPr>
          <w:color w:val="000000"/>
          <w:szCs w:val="28"/>
        </w:rPr>
      </w:pPr>
      <w:r>
        <w:rPr>
          <w:rFonts w:ascii="Cambria Math" w:hAnsi="Cambria Math" w:cs="Cambria Math"/>
          <w:color w:val="000000"/>
          <w:szCs w:val="28"/>
        </w:rPr>
        <w:t>①</w:t>
      </w:r>
      <w:r>
        <w:rPr>
          <w:color w:val="000000"/>
          <w:szCs w:val="28"/>
        </w:rPr>
        <w:t>类比经验法</w:t>
      </w:r>
    </w:p>
    <w:p>
      <w:pPr>
        <w:autoSpaceDE w:val="0"/>
        <w:autoSpaceDN w:val="0"/>
        <w:adjustRightInd w:val="0"/>
        <w:ind w:firstLine="480"/>
        <w:rPr>
          <w:color w:val="000000"/>
          <w:szCs w:val="28"/>
        </w:rPr>
      </w:pPr>
      <w:r>
        <w:rPr>
          <w:color w:val="000000"/>
          <w:szCs w:val="28"/>
        </w:rPr>
        <w:t>同保护区水域划定方法。</w:t>
      </w:r>
    </w:p>
    <w:p>
      <w:pPr>
        <w:autoSpaceDE w:val="0"/>
        <w:autoSpaceDN w:val="0"/>
        <w:adjustRightInd w:val="0"/>
        <w:ind w:firstLine="480"/>
        <w:rPr>
          <w:color w:val="000000"/>
          <w:szCs w:val="28"/>
        </w:rPr>
      </w:pPr>
      <w:r>
        <w:rPr>
          <w:rFonts w:ascii="Cambria Math" w:hAnsi="Cambria Math" w:cs="Cambria Math"/>
          <w:color w:val="000000"/>
          <w:szCs w:val="28"/>
        </w:rPr>
        <w:t>②</w:t>
      </w:r>
      <w:r>
        <w:rPr>
          <w:color w:val="000000"/>
          <w:szCs w:val="28"/>
        </w:rPr>
        <w:t>地形边界法</w:t>
      </w:r>
    </w:p>
    <w:p>
      <w:pPr>
        <w:autoSpaceDE w:val="0"/>
        <w:autoSpaceDN w:val="0"/>
        <w:adjustRightInd w:val="0"/>
        <w:ind w:firstLine="480"/>
        <w:rPr>
          <w:color w:val="000000"/>
          <w:szCs w:val="28"/>
        </w:rPr>
      </w:pPr>
      <w:r>
        <w:rPr>
          <w:color w:val="000000"/>
          <w:szCs w:val="28"/>
        </w:rPr>
        <w:t>以饮用水水源周边的山脊线或分水岭作为各级保护区边界的方法。其中，山脊线是水源周边地域的海拔最高点，分水岭是集水区域的边界。其中，第一重山脊线可以作为一级保护区范围，第二重山脊线或分水岭可作为二级或准保护区边界，该方法强调对流域整体的保护，适用于周边土地开发利用程度较低的地表水水源地。</w:t>
      </w:r>
    </w:p>
    <w:p>
      <w:pPr>
        <w:autoSpaceDE w:val="0"/>
        <w:autoSpaceDN w:val="0"/>
        <w:adjustRightInd w:val="0"/>
        <w:ind w:firstLine="480"/>
        <w:rPr>
          <w:color w:val="000000"/>
          <w:szCs w:val="28"/>
        </w:rPr>
      </w:pPr>
      <w:r>
        <w:rPr>
          <w:rFonts w:ascii="Cambria Math" w:hAnsi="Cambria Math" w:cs="Cambria Math"/>
          <w:color w:val="000000"/>
          <w:szCs w:val="28"/>
        </w:rPr>
        <w:t>③</w:t>
      </w:r>
      <w:r>
        <w:rPr>
          <w:color w:val="000000"/>
          <w:szCs w:val="28"/>
        </w:rPr>
        <w:t>缓冲区法</w:t>
      </w:r>
    </w:p>
    <w:p>
      <w:pPr>
        <w:autoSpaceDE w:val="0"/>
        <w:autoSpaceDN w:val="0"/>
        <w:adjustRightInd w:val="0"/>
        <w:ind w:firstLine="480"/>
        <w:rPr>
          <w:color w:val="000000"/>
          <w:szCs w:val="28"/>
        </w:rPr>
      </w:pPr>
      <w:r>
        <w:rPr>
          <w:color w:val="000000"/>
          <w:szCs w:val="28"/>
        </w:rPr>
        <w:t>划定一定范围的陆域，通过土壤渗透作用拦截地表径流携带的污染物，降低地表径流污染对饮用水水源的不利影响，从而确定保护区边界的方法。缓冲地区宽度确定考虑的因素有：地形地貌、土地利用、受保护水体大小以及设置缓冲区的合法性等。</w:t>
      </w:r>
    </w:p>
    <w:p>
      <w:pPr>
        <w:pStyle w:val="4"/>
        <w:numPr>
          <w:ilvl w:val="0"/>
          <w:numId w:val="0"/>
        </w:numPr>
        <w:ind w:leftChars="200"/>
      </w:pPr>
      <w:bookmarkStart w:id="9" w:name="_Toc476818510"/>
      <w:bookmarkStart w:id="10" w:name="_Toc503455950"/>
      <w:r>
        <w:rPr>
          <w:rFonts w:hint="eastAsia"/>
          <w:lang w:val="en-US" w:eastAsia="zh-CN"/>
        </w:rPr>
        <w:t>2.2</w:t>
      </w:r>
      <w:r>
        <w:t>饮用水水源保护区水质规定</w:t>
      </w:r>
      <w:bookmarkEnd w:id="9"/>
      <w:bookmarkEnd w:id="10"/>
    </w:p>
    <w:p>
      <w:pPr>
        <w:autoSpaceDE w:val="0"/>
        <w:autoSpaceDN w:val="0"/>
        <w:adjustRightInd w:val="0"/>
        <w:ind w:firstLine="480"/>
        <w:rPr>
          <w:snapToGrid w:val="0"/>
          <w:color w:val="000000"/>
          <w:kern w:val="0"/>
          <w:szCs w:val="28"/>
        </w:rPr>
      </w:pPr>
      <w:r>
        <w:rPr>
          <w:snapToGrid w:val="0"/>
          <w:color w:val="000000"/>
          <w:kern w:val="0"/>
          <w:szCs w:val="28"/>
        </w:rPr>
        <w:t>（1）饮用水水源一级保护区的水质基本项目限值不得低于《地表水环境质量标准》（GB3838-2002）中的Ⅱ类标准，且补充项目和特定项目应满足该标准规定的限值要求。</w:t>
      </w:r>
    </w:p>
    <w:p>
      <w:pPr>
        <w:autoSpaceDE w:val="0"/>
        <w:autoSpaceDN w:val="0"/>
        <w:adjustRightInd w:val="0"/>
        <w:ind w:firstLine="480"/>
        <w:rPr>
          <w:snapToGrid w:val="0"/>
          <w:color w:val="000000"/>
          <w:kern w:val="0"/>
          <w:szCs w:val="28"/>
        </w:rPr>
      </w:pPr>
      <w:r>
        <w:rPr>
          <w:snapToGrid w:val="0"/>
          <w:color w:val="000000"/>
          <w:kern w:val="0"/>
          <w:szCs w:val="28"/>
        </w:rPr>
        <w:t>（2）饮用水水源二级保护区的水质基本项目限值不得低于《地表水环境质量标准》（GB3838-2002）中的Ⅲ类标准，并保证流入一级保护区的水质满足一级保护区水质标准的要求。</w:t>
      </w:r>
    </w:p>
    <w:p>
      <w:pPr>
        <w:autoSpaceDE w:val="0"/>
        <w:autoSpaceDN w:val="0"/>
        <w:adjustRightInd w:val="0"/>
        <w:ind w:firstLine="480"/>
        <w:rPr>
          <w:snapToGrid w:val="0"/>
          <w:color w:val="000000"/>
          <w:kern w:val="0"/>
          <w:szCs w:val="28"/>
        </w:rPr>
      </w:pPr>
      <w:r>
        <w:rPr>
          <w:snapToGrid w:val="0"/>
          <w:color w:val="000000"/>
          <w:kern w:val="0"/>
          <w:szCs w:val="28"/>
        </w:rPr>
        <w:t>（3）饮用水水源准保护区的水质标准应保证流入二级保护区的水质满足二级保护区水质标准的要求。</w:t>
      </w:r>
    </w:p>
    <w:p>
      <w:pPr>
        <w:pStyle w:val="3"/>
        <w:numPr>
          <w:ilvl w:val="0"/>
          <w:numId w:val="0"/>
        </w:numPr>
        <w:ind w:leftChars="0"/>
      </w:pPr>
      <w:bookmarkStart w:id="11" w:name="_Toc503455951"/>
      <w:bookmarkStart w:id="12" w:name="_Toc402194626"/>
      <w:bookmarkStart w:id="13" w:name="_Toc476818511"/>
      <w:r>
        <w:rPr>
          <w:rFonts w:hint="eastAsia"/>
          <w:lang w:val="en-US" w:eastAsia="zh-CN"/>
        </w:rPr>
        <w:t>三、</w:t>
      </w:r>
      <w:r>
        <w:t>调整方案</w:t>
      </w:r>
      <w:bookmarkEnd w:id="11"/>
      <w:bookmarkEnd w:id="12"/>
      <w:bookmarkEnd w:id="13"/>
    </w:p>
    <w:p>
      <w:pPr>
        <w:autoSpaceDE w:val="0"/>
        <w:autoSpaceDN w:val="0"/>
        <w:adjustRightInd w:val="0"/>
        <w:ind w:firstLine="480"/>
        <w:rPr>
          <w:snapToGrid w:val="0"/>
          <w:color w:val="000000"/>
          <w:kern w:val="0"/>
          <w:szCs w:val="28"/>
        </w:rPr>
      </w:pPr>
      <w:r>
        <w:rPr>
          <w:snapToGrid w:val="0"/>
          <w:color w:val="000000"/>
          <w:kern w:val="0"/>
          <w:szCs w:val="28"/>
        </w:rPr>
        <w:t>根据</w:t>
      </w:r>
      <w:r>
        <w:rPr>
          <w:rFonts w:hint="eastAsia"/>
          <w:snapToGrid w:val="0"/>
          <w:color w:val="000000"/>
          <w:kern w:val="0"/>
          <w:szCs w:val="28"/>
        </w:rPr>
        <w:t>供水规划</w:t>
      </w:r>
      <w:r>
        <w:rPr>
          <w:snapToGrid w:val="0"/>
          <w:color w:val="000000"/>
          <w:kern w:val="0"/>
          <w:szCs w:val="28"/>
        </w:rPr>
        <w:t>，将</w:t>
      </w:r>
      <w:r>
        <w:rPr>
          <w:rFonts w:hint="eastAsia"/>
          <w:snapToGrid w:val="0"/>
          <w:color w:val="000000"/>
          <w:kern w:val="0"/>
          <w:szCs w:val="28"/>
        </w:rPr>
        <w:t>南阳水厂从花溪水电站和官陂水电站</w:t>
      </w:r>
      <w:r>
        <w:rPr>
          <w:rFonts w:hint="eastAsia"/>
          <w:snapToGrid w:val="0"/>
          <w:lang w:eastAsia="zh-CN"/>
        </w:rPr>
        <w:t>取水口（</w:t>
      </w:r>
      <w:r>
        <w:rPr>
          <w:rFonts w:hint="eastAsia"/>
          <w:snapToGrid w:val="0"/>
          <w:color w:val="000000"/>
          <w:kern w:val="0"/>
          <w:szCs w:val="28"/>
        </w:rPr>
        <w:t>吸水点</w:t>
      </w:r>
      <w:r>
        <w:rPr>
          <w:rFonts w:hint="eastAsia"/>
          <w:snapToGrid w:val="0"/>
          <w:color w:val="000000"/>
          <w:kern w:val="0"/>
          <w:szCs w:val="28"/>
          <w:lang w:eastAsia="zh-CN"/>
        </w:rPr>
        <w:t>）</w:t>
      </w:r>
      <w:r>
        <w:rPr>
          <w:rFonts w:hint="eastAsia"/>
          <w:snapToGrid w:val="0"/>
          <w:color w:val="000000"/>
          <w:kern w:val="0"/>
          <w:szCs w:val="28"/>
        </w:rPr>
        <w:t>上移，</w:t>
      </w:r>
      <w:r>
        <w:rPr>
          <w:snapToGrid w:val="0"/>
          <w:color w:val="000000"/>
          <w:kern w:val="0"/>
          <w:szCs w:val="28"/>
        </w:rPr>
        <w:t>上移后的新</w:t>
      </w:r>
      <w:r>
        <w:rPr>
          <w:rFonts w:hint="eastAsia"/>
          <w:snapToGrid w:val="0"/>
          <w:lang w:eastAsia="zh-CN"/>
        </w:rPr>
        <w:t>取水口（</w:t>
      </w:r>
      <w:r>
        <w:rPr>
          <w:snapToGrid w:val="0"/>
          <w:color w:val="000000"/>
          <w:kern w:val="0"/>
          <w:szCs w:val="28"/>
        </w:rPr>
        <w:t>吸水点</w:t>
      </w:r>
      <w:r>
        <w:rPr>
          <w:rFonts w:hint="eastAsia"/>
          <w:snapToGrid w:val="0"/>
          <w:color w:val="000000"/>
          <w:kern w:val="0"/>
          <w:szCs w:val="28"/>
          <w:lang w:eastAsia="zh-CN"/>
        </w:rPr>
        <w:t>）</w:t>
      </w:r>
      <w:r>
        <w:rPr>
          <w:snapToGrid w:val="0"/>
          <w:color w:val="000000"/>
          <w:kern w:val="0"/>
          <w:szCs w:val="28"/>
        </w:rPr>
        <w:t>选址</w:t>
      </w:r>
      <w:r>
        <w:rPr>
          <w:rFonts w:hint="eastAsia"/>
          <w:snapToGrid w:val="0"/>
          <w:color w:val="000000"/>
          <w:kern w:val="0"/>
          <w:szCs w:val="28"/>
        </w:rPr>
        <w:t>位于茶坑水库水坝现有大崀镇水厂</w:t>
      </w:r>
      <w:r>
        <w:rPr>
          <w:rFonts w:hint="eastAsia"/>
          <w:snapToGrid w:val="0"/>
          <w:lang w:eastAsia="zh-CN"/>
        </w:rPr>
        <w:t>取水口（</w:t>
      </w:r>
      <w:r>
        <w:rPr>
          <w:rFonts w:hint="eastAsia"/>
          <w:snapToGrid w:val="0"/>
          <w:color w:val="000000"/>
          <w:kern w:val="0"/>
          <w:szCs w:val="28"/>
        </w:rPr>
        <w:t>吸水点</w:t>
      </w:r>
      <w:r>
        <w:rPr>
          <w:rFonts w:hint="eastAsia"/>
          <w:snapToGrid w:val="0"/>
          <w:color w:val="000000"/>
          <w:kern w:val="0"/>
          <w:szCs w:val="28"/>
          <w:lang w:eastAsia="zh-CN"/>
        </w:rPr>
        <w:t>）</w:t>
      </w:r>
      <w:r>
        <w:rPr>
          <w:rFonts w:hint="eastAsia"/>
          <w:snapToGrid w:val="0"/>
          <w:color w:val="000000"/>
          <w:kern w:val="0"/>
          <w:szCs w:val="28"/>
        </w:rPr>
        <w:t>处。</w:t>
      </w:r>
      <w:r>
        <w:rPr>
          <w:snapToGrid w:val="0"/>
          <w:color w:val="000000"/>
          <w:kern w:val="0"/>
          <w:szCs w:val="28"/>
        </w:rPr>
        <w:t>在上移后的新</w:t>
      </w:r>
      <w:r>
        <w:rPr>
          <w:rFonts w:hint="eastAsia"/>
          <w:snapToGrid w:val="0"/>
          <w:lang w:eastAsia="zh-CN"/>
        </w:rPr>
        <w:t>取水口（</w:t>
      </w:r>
      <w:r>
        <w:rPr>
          <w:snapToGrid w:val="0"/>
          <w:color w:val="000000"/>
          <w:kern w:val="0"/>
          <w:szCs w:val="28"/>
        </w:rPr>
        <w:t>吸水点</w:t>
      </w:r>
      <w:r>
        <w:rPr>
          <w:rFonts w:hint="eastAsia"/>
          <w:snapToGrid w:val="0"/>
          <w:color w:val="000000"/>
          <w:kern w:val="0"/>
          <w:szCs w:val="28"/>
          <w:lang w:eastAsia="zh-CN"/>
        </w:rPr>
        <w:t>）</w:t>
      </w:r>
      <w:r>
        <w:rPr>
          <w:snapToGrid w:val="0"/>
          <w:color w:val="000000"/>
          <w:kern w:val="0"/>
          <w:szCs w:val="28"/>
        </w:rPr>
        <w:t>区域设立</w:t>
      </w:r>
      <w:r>
        <w:rPr>
          <w:rFonts w:hint="eastAsia"/>
          <w:snapToGrid w:val="0"/>
          <w:color w:val="000000"/>
          <w:kern w:val="0"/>
          <w:szCs w:val="28"/>
        </w:rPr>
        <w:t>阳山县饮用水源保护区（茶坑水库）一级保护区</w:t>
      </w:r>
      <w:r>
        <w:rPr>
          <w:snapToGrid w:val="0"/>
          <w:color w:val="000000"/>
          <w:kern w:val="0"/>
          <w:szCs w:val="28"/>
        </w:rPr>
        <w:t>。</w:t>
      </w:r>
    </w:p>
    <w:p>
      <w:pPr>
        <w:autoSpaceDE w:val="0"/>
        <w:autoSpaceDN w:val="0"/>
        <w:adjustRightInd w:val="0"/>
        <w:ind w:firstLine="480"/>
        <w:rPr>
          <w:snapToGrid w:val="0"/>
          <w:color w:val="000000"/>
          <w:kern w:val="0"/>
          <w:szCs w:val="28"/>
        </w:rPr>
        <w:sectPr>
          <w:headerReference r:id="rId11" w:type="default"/>
          <w:pgSz w:w="11906" w:h="16838"/>
          <w:pgMar w:top="1440" w:right="1800" w:bottom="1440" w:left="1800" w:header="851" w:footer="992" w:gutter="0"/>
          <w:cols w:space="720" w:num="1" w:sep="1"/>
          <w:docGrid w:type="lines" w:linePitch="312" w:charSpace="0"/>
        </w:sectPr>
      </w:pPr>
      <w:r>
        <w:rPr>
          <w:rFonts w:hint="eastAsia"/>
          <w:snapToGrid w:val="0"/>
          <w:color w:val="000000"/>
          <w:kern w:val="0"/>
          <w:szCs w:val="28"/>
        </w:rPr>
        <w:t>阳山</w:t>
      </w:r>
      <w:r>
        <w:rPr>
          <w:snapToGrid w:val="0"/>
          <w:color w:val="000000"/>
          <w:kern w:val="0"/>
          <w:szCs w:val="28"/>
        </w:rPr>
        <w:t>县城饮用水源保护区调整方案具体</w:t>
      </w:r>
      <w:r>
        <w:rPr>
          <w:rFonts w:hint="eastAsia"/>
          <w:snapToGrid w:val="0"/>
          <w:color w:val="000000"/>
          <w:kern w:val="0"/>
          <w:szCs w:val="28"/>
        </w:rPr>
        <w:t>下</w:t>
      </w:r>
      <w:r>
        <w:rPr>
          <w:snapToGrid w:val="0"/>
          <w:color w:val="000000"/>
          <w:kern w:val="0"/>
          <w:szCs w:val="28"/>
        </w:rPr>
        <w:t>表。</w:t>
      </w:r>
    </w:p>
    <w:p>
      <w:pPr>
        <w:ind w:firstLine="482"/>
        <w:jc w:val="center"/>
        <w:rPr>
          <w:b/>
          <w:color w:val="000000"/>
          <w:szCs w:val="28"/>
        </w:rPr>
      </w:pPr>
      <w:bookmarkStart w:id="14" w:name="_GoBack"/>
      <w:bookmarkEnd w:id="14"/>
      <w:r>
        <w:rPr>
          <w:b/>
          <w:color w:val="000000"/>
          <w:szCs w:val="28"/>
        </w:rPr>
        <w:t>表</w:t>
      </w:r>
      <w:r>
        <w:rPr>
          <w:b/>
          <w:color w:val="000000"/>
          <w:szCs w:val="28"/>
          <w:lang w:val="en-US"/>
        </w:rPr>
        <w:t>1</w:t>
      </w:r>
      <w:r>
        <w:rPr>
          <w:b/>
          <w:color w:val="000000"/>
          <w:szCs w:val="28"/>
        </w:rPr>
        <w:t xml:space="preserve"> </w:t>
      </w:r>
      <w:r>
        <w:rPr>
          <w:rFonts w:hint="eastAsia"/>
          <w:b/>
          <w:color w:val="000000"/>
          <w:szCs w:val="28"/>
        </w:rPr>
        <w:t>阳山县饮用水</w:t>
      </w:r>
      <w:r>
        <w:rPr>
          <w:rFonts w:hint="eastAsia"/>
          <w:b/>
          <w:color w:val="000000"/>
          <w:szCs w:val="28"/>
          <w:lang w:eastAsia="zh-CN"/>
        </w:rPr>
        <w:t>水</w:t>
      </w:r>
      <w:r>
        <w:rPr>
          <w:rFonts w:hint="eastAsia"/>
          <w:b/>
          <w:color w:val="000000"/>
          <w:szCs w:val="28"/>
        </w:rPr>
        <w:t>源保护区（茶坑水库）</w:t>
      </w:r>
      <w:r>
        <w:rPr>
          <w:b/>
          <w:color w:val="000000"/>
          <w:szCs w:val="28"/>
        </w:rPr>
        <w:t>调整情况表</w:t>
      </w:r>
    </w:p>
    <w:tbl>
      <w:tblPr>
        <w:tblStyle w:val="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2"/>
        <w:gridCol w:w="943"/>
        <w:gridCol w:w="1197"/>
        <w:gridCol w:w="3534"/>
        <w:gridCol w:w="1829"/>
        <w:gridCol w:w="2512"/>
        <w:gridCol w:w="1417"/>
        <w:gridCol w:w="851"/>
        <w:gridCol w:w="1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612" w:type="dxa"/>
            <w:vMerge w:val="restart"/>
            <w:vAlign w:val="center"/>
          </w:tcPr>
          <w:p>
            <w:pPr>
              <w:pStyle w:val="9"/>
              <w:rPr>
                <w:snapToGrid w:val="0"/>
              </w:rPr>
            </w:pPr>
            <w:r>
              <w:rPr>
                <w:snapToGrid w:val="0"/>
              </w:rPr>
              <w:t>保护区所在地</w:t>
            </w:r>
          </w:p>
        </w:tc>
        <w:tc>
          <w:tcPr>
            <w:tcW w:w="943" w:type="dxa"/>
            <w:vMerge w:val="restart"/>
            <w:vAlign w:val="center"/>
          </w:tcPr>
          <w:p>
            <w:pPr>
              <w:pStyle w:val="9"/>
              <w:rPr>
                <w:snapToGrid w:val="0"/>
              </w:rPr>
            </w:pPr>
            <w:r>
              <w:rPr>
                <w:snapToGrid w:val="0"/>
              </w:rPr>
              <w:t>保护区名称</w:t>
            </w:r>
          </w:p>
        </w:tc>
        <w:tc>
          <w:tcPr>
            <w:tcW w:w="1197" w:type="dxa"/>
            <w:vMerge w:val="restart"/>
            <w:vAlign w:val="center"/>
          </w:tcPr>
          <w:p>
            <w:pPr>
              <w:pStyle w:val="9"/>
              <w:rPr>
                <w:snapToGrid w:val="0"/>
              </w:rPr>
            </w:pPr>
            <w:r>
              <w:rPr>
                <w:snapToGrid w:val="0"/>
              </w:rPr>
              <w:t>级别</w:t>
            </w:r>
          </w:p>
        </w:tc>
        <w:tc>
          <w:tcPr>
            <w:tcW w:w="5363" w:type="dxa"/>
            <w:gridSpan w:val="2"/>
            <w:vAlign w:val="center"/>
          </w:tcPr>
          <w:p>
            <w:pPr>
              <w:pStyle w:val="9"/>
              <w:rPr>
                <w:snapToGrid w:val="0"/>
              </w:rPr>
            </w:pPr>
            <w:r>
              <w:rPr>
                <w:snapToGrid w:val="0"/>
              </w:rPr>
              <w:t>原划定情况</w:t>
            </w:r>
          </w:p>
        </w:tc>
        <w:tc>
          <w:tcPr>
            <w:tcW w:w="3929" w:type="dxa"/>
            <w:gridSpan w:val="2"/>
            <w:vAlign w:val="center"/>
          </w:tcPr>
          <w:p>
            <w:pPr>
              <w:pStyle w:val="9"/>
              <w:rPr>
                <w:snapToGrid w:val="0"/>
              </w:rPr>
            </w:pPr>
            <w:r>
              <w:rPr>
                <w:snapToGrid w:val="0"/>
              </w:rPr>
              <w:t>调整后划定情况</w:t>
            </w:r>
          </w:p>
        </w:tc>
        <w:tc>
          <w:tcPr>
            <w:tcW w:w="851" w:type="dxa"/>
            <w:vMerge w:val="restart"/>
            <w:vAlign w:val="center"/>
          </w:tcPr>
          <w:p>
            <w:pPr>
              <w:pStyle w:val="9"/>
              <w:rPr>
                <w:snapToGrid w:val="0"/>
              </w:rPr>
            </w:pPr>
            <w:r>
              <w:rPr>
                <w:snapToGrid w:val="0"/>
              </w:rPr>
              <w:t>水质保护目标</w:t>
            </w:r>
          </w:p>
        </w:tc>
        <w:tc>
          <w:tcPr>
            <w:tcW w:w="1053" w:type="dxa"/>
            <w:vMerge w:val="restart"/>
            <w:vAlign w:val="center"/>
          </w:tcPr>
          <w:p>
            <w:pPr>
              <w:pStyle w:val="9"/>
              <w:rPr>
                <w:snapToGrid w:val="0"/>
              </w:rPr>
            </w:pPr>
            <w:r>
              <w:rPr>
                <w:snapToGrid w:val="0"/>
              </w:rPr>
              <w:t>变化说明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blHeader/>
        </w:trPr>
        <w:tc>
          <w:tcPr>
            <w:tcW w:w="612" w:type="dxa"/>
            <w:vMerge w:val="continue"/>
            <w:vAlign w:val="center"/>
          </w:tcPr>
          <w:p>
            <w:pPr>
              <w:pStyle w:val="9"/>
              <w:rPr>
                <w:snapToGrid w:val="0"/>
              </w:rPr>
            </w:pPr>
          </w:p>
        </w:tc>
        <w:tc>
          <w:tcPr>
            <w:tcW w:w="943" w:type="dxa"/>
            <w:vMerge w:val="continue"/>
            <w:vAlign w:val="center"/>
          </w:tcPr>
          <w:p>
            <w:pPr>
              <w:pStyle w:val="9"/>
              <w:rPr>
                <w:snapToGrid w:val="0"/>
              </w:rPr>
            </w:pPr>
          </w:p>
        </w:tc>
        <w:tc>
          <w:tcPr>
            <w:tcW w:w="1197" w:type="dxa"/>
            <w:vMerge w:val="continue"/>
            <w:vAlign w:val="center"/>
          </w:tcPr>
          <w:p>
            <w:pPr>
              <w:pStyle w:val="9"/>
              <w:rPr>
                <w:snapToGrid w:val="0"/>
              </w:rPr>
            </w:pPr>
          </w:p>
        </w:tc>
        <w:tc>
          <w:tcPr>
            <w:tcW w:w="3534" w:type="dxa"/>
            <w:vAlign w:val="center"/>
          </w:tcPr>
          <w:p>
            <w:pPr>
              <w:pStyle w:val="9"/>
              <w:rPr>
                <w:snapToGrid w:val="0"/>
              </w:rPr>
            </w:pPr>
            <w:r>
              <w:rPr>
                <w:snapToGrid w:val="0"/>
              </w:rPr>
              <w:t>水域保护范围</w:t>
            </w:r>
          </w:p>
        </w:tc>
        <w:tc>
          <w:tcPr>
            <w:tcW w:w="1829" w:type="dxa"/>
            <w:vAlign w:val="center"/>
          </w:tcPr>
          <w:p>
            <w:pPr>
              <w:pStyle w:val="9"/>
              <w:rPr>
                <w:snapToGrid w:val="0"/>
              </w:rPr>
            </w:pPr>
            <w:r>
              <w:rPr>
                <w:snapToGrid w:val="0"/>
              </w:rPr>
              <w:t>陆域保护范围</w:t>
            </w:r>
          </w:p>
        </w:tc>
        <w:tc>
          <w:tcPr>
            <w:tcW w:w="2512" w:type="dxa"/>
            <w:vAlign w:val="center"/>
          </w:tcPr>
          <w:p>
            <w:pPr>
              <w:pStyle w:val="9"/>
              <w:rPr>
                <w:snapToGrid w:val="0"/>
              </w:rPr>
            </w:pPr>
            <w:r>
              <w:rPr>
                <w:snapToGrid w:val="0"/>
              </w:rPr>
              <w:t>水域保护范围</w:t>
            </w:r>
          </w:p>
        </w:tc>
        <w:tc>
          <w:tcPr>
            <w:tcW w:w="1417" w:type="dxa"/>
            <w:vAlign w:val="center"/>
          </w:tcPr>
          <w:p>
            <w:pPr>
              <w:pStyle w:val="9"/>
              <w:rPr>
                <w:snapToGrid w:val="0"/>
              </w:rPr>
            </w:pPr>
            <w:r>
              <w:rPr>
                <w:snapToGrid w:val="0"/>
              </w:rPr>
              <w:t>陆域保护范围</w:t>
            </w:r>
          </w:p>
        </w:tc>
        <w:tc>
          <w:tcPr>
            <w:tcW w:w="851" w:type="dxa"/>
            <w:vMerge w:val="continue"/>
          </w:tcPr>
          <w:p>
            <w:pPr>
              <w:pStyle w:val="9"/>
              <w:rPr>
                <w:snapToGrid w:val="0"/>
              </w:rPr>
            </w:pPr>
          </w:p>
        </w:tc>
        <w:tc>
          <w:tcPr>
            <w:tcW w:w="1053" w:type="dxa"/>
            <w:vMerge w:val="continue"/>
            <w:vAlign w:val="center"/>
          </w:tcPr>
          <w:p>
            <w:pPr>
              <w:pStyle w:val="9"/>
              <w:rPr>
                <w:snapToGrid w:val="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12" w:type="dxa"/>
            <w:vMerge w:val="restart"/>
            <w:vAlign w:val="center"/>
          </w:tcPr>
          <w:p>
            <w:pPr>
              <w:pStyle w:val="9"/>
              <w:rPr>
                <w:snapToGrid w:val="0"/>
              </w:rPr>
            </w:pPr>
            <w:r>
              <w:rPr>
                <w:rFonts w:hint="eastAsia"/>
                <w:snapToGrid w:val="0"/>
              </w:rPr>
              <w:t>阳山县大崀镇</w:t>
            </w:r>
          </w:p>
        </w:tc>
        <w:tc>
          <w:tcPr>
            <w:tcW w:w="943" w:type="dxa"/>
            <w:vMerge w:val="restart"/>
            <w:vAlign w:val="center"/>
          </w:tcPr>
          <w:p>
            <w:pPr>
              <w:pStyle w:val="9"/>
              <w:rPr>
                <w:snapToGrid w:val="0"/>
              </w:rPr>
            </w:pPr>
            <w:r>
              <w:rPr>
                <w:rFonts w:hint="eastAsia"/>
                <w:snapToGrid w:val="0"/>
              </w:rPr>
              <w:t>阳山县城饮用水</w:t>
            </w:r>
            <w:r>
              <w:rPr>
                <w:rFonts w:hint="eastAsia"/>
                <w:snapToGrid w:val="0"/>
                <w:lang w:eastAsia="zh-CN"/>
              </w:rPr>
              <w:t>水</w:t>
            </w:r>
            <w:r>
              <w:rPr>
                <w:rFonts w:hint="eastAsia"/>
                <w:snapToGrid w:val="0"/>
              </w:rPr>
              <w:t>源保护区（茶坑水库）</w:t>
            </w:r>
          </w:p>
        </w:tc>
        <w:tc>
          <w:tcPr>
            <w:tcW w:w="1197" w:type="dxa"/>
            <w:vAlign w:val="center"/>
          </w:tcPr>
          <w:p>
            <w:pPr>
              <w:pStyle w:val="9"/>
              <w:rPr>
                <w:snapToGrid w:val="0"/>
              </w:rPr>
            </w:pPr>
            <w:r>
              <w:rPr>
                <w:snapToGrid w:val="0"/>
              </w:rPr>
              <w:t>一级保护区</w:t>
            </w:r>
          </w:p>
        </w:tc>
        <w:tc>
          <w:tcPr>
            <w:tcW w:w="3534" w:type="dxa"/>
            <w:vAlign w:val="center"/>
          </w:tcPr>
          <w:p>
            <w:pPr>
              <w:pStyle w:val="9"/>
              <w:rPr>
                <w:snapToGrid w:val="0"/>
              </w:rPr>
            </w:pPr>
            <w:r>
              <w:rPr>
                <w:rFonts w:cs="Times New Roman"/>
                <w:color w:val="000000"/>
              </w:rPr>
              <w:t>以茶坑水库大崀库区向县城区供水点为中心，15公里范围内的水域</w:t>
            </w:r>
          </w:p>
        </w:tc>
        <w:tc>
          <w:tcPr>
            <w:tcW w:w="1829" w:type="dxa"/>
            <w:vAlign w:val="center"/>
          </w:tcPr>
          <w:p>
            <w:pPr>
              <w:pStyle w:val="9"/>
              <w:rPr>
                <w:snapToGrid w:val="0"/>
              </w:rPr>
            </w:pPr>
            <w:r>
              <w:rPr>
                <w:rFonts w:cs="Times New Roman"/>
                <w:color w:val="000000"/>
              </w:rPr>
              <w:t>/</w:t>
            </w:r>
          </w:p>
        </w:tc>
        <w:tc>
          <w:tcPr>
            <w:tcW w:w="2512" w:type="dxa"/>
            <w:vAlign w:val="center"/>
          </w:tcPr>
          <w:p>
            <w:pPr>
              <w:pStyle w:val="9"/>
              <w:rPr>
                <w:rFonts w:hint="eastAsia"/>
                <w:snapToGrid w:val="0"/>
              </w:rPr>
            </w:pPr>
            <w:r>
              <w:rPr>
                <w:rFonts w:hint="eastAsia"/>
                <w:snapToGrid w:val="0"/>
              </w:rPr>
              <w:t>南阳水厂</w:t>
            </w:r>
            <w:r>
              <w:rPr>
                <w:rFonts w:hint="eastAsia"/>
                <w:snapToGrid w:val="0"/>
                <w:lang w:eastAsia="zh-CN"/>
              </w:rPr>
              <w:t>取水口（</w:t>
            </w:r>
            <w:r>
              <w:rPr>
                <w:rFonts w:hint="eastAsia"/>
                <w:snapToGrid w:val="0"/>
              </w:rPr>
              <w:t>吸水点</w:t>
            </w:r>
            <w:r>
              <w:rPr>
                <w:rFonts w:hint="eastAsia"/>
                <w:snapToGrid w:val="0"/>
                <w:lang w:eastAsia="zh-CN"/>
              </w:rPr>
              <w:t>）</w:t>
            </w:r>
            <w:r>
              <w:rPr>
                <w:rFonts w:hint="eastAsia"/>
                <w:snapToGrid w:val="0"/>
              </w:rPr>
              <w:t>半径500米范围内多年平均水位对应的高程线以下水域</w:t>
            </w:r>
          </w:p>
        </w:tc>
        <w:tc>
          <w:tcPr>
            <w:tcW w:w="1417" w:type="dxa"/>
            <w:vAlign w:val="center"/>
          </w:tcPr>
          <w:p>
            <w:pPr>
              <w:pStyle w:val="9"/>
              <w:rPr>
                <w:snapToGrid w:val="0"/>
              </w:rPr>
            </w:pPr>
            <w:r>
              <w:rPr>
                <w:rFonts w:hint="eastAsia"/>
                <w:snapToGrid w:val="0"/>
              </w:rPr>
              <w:t>/</w:t>
            </w:r>
          </w:p>
        </w:tc>
        <w:tc>
          <w:tcPr>
            <w:tcW w:w="851" w:type="dxa"/>
            <w:vAlign w:val="center"/>
          </w:tcPr>
          <w:p>
            <w:pPr>
              <w:pStyle w:val="9"/>
              <w:rPr>
                <w:snapToGrid w:val="0"/>
              </w:rPr>
            </w:pPr>
            <w:r>
              <w:rPr>
                <w:snapToGrid w:val="0"/>
              </w:rPr>
              <w:t>Ⅱ类</w:t>
            </w:r>
          </w:p>
        </w:tc>
        <w:tc>
          <w:tcPr>
            <w:tcW w:w="1053" w:type="dxa"/>
            <w:vAlign w:val="center"/>
          </w:tcPr>
          <w:p>
            <w:pPr>
              <w:pStyle w:val="9"/>
              <w:rPr>
                <w:rFonts w:hint="eastAsia"/>
                <w:snapToGrid w:val="0"/>
              </w:rPr>
            </w:pPr>
            <w:r>
              <w:rPr>
                <w:rFonts w:hint="eastAsia"/>
                <w:snapToGrid w:val="0"/>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12" w:type="dxa"/>
            <w:vMerge w:val="continue"/>
            <w:vAlign w:val="center"/>
          </w:tcPr>
          <w:p>
            <w:pPr>
              <w:pStyle w:val="9"/>
              <w:rPr>
                <w:snapToGrid w:val="0"/>
              </w:rPr>
            </w:pPr>
          </w:p>
        </w:tc>
        <w:tc>
          <w:tcPr>
            <w:tcW w:w="943" w:type="dxa"/>
            <w:vMerge w:val="continue"/>
            <w:vAlign w:val="center"/>
          </w:tcPr>
          <w:p>
            <w:pPr>
              <w:pStyle w:val="9"/>
              <w:rPr>
                <w:snapToGrid w:val="0"/>
              </w:rPr>
            </w:pPr>
          </w:p>
        </w:tc>
        <w:tc>
          <w:tcPr>
            <w:tcW w:w="1197" w:type="dxa"/>
            <w:vAlign w:val="center"/>
          </w:tcPr>
          <w:p>
            <w:pPr>
              <w:pStyle w:val="9"/>
              <w:rPr>
                <w:snapToGrid w:val="0"/>
              </w:rPr>
            </w:pPr>
            <w:r>
              <w:rPr>
                <w:snapToGrid w:val="0"/>
              </w:rPr>
              <w:t>二级保护区</w:t>
            </w:r>
          </w:p>
        </w:tc>
        <w:tc>
          <w:tcPr>
            <w:tcW w:w="3534" w:type="dxa"/>
            <w:vAlign w:val="center"/>
          </w:tcPr>
          <w:p>
            <w:pPr>
              <w:pStyle w:val="9"/>
              <w:rPr>
                <w:snapToGrid w:val="0"/>
              </w:rPr>
            </w:pPr>
            <w:r>
              <w:rPr>
                <w:rFonts w:cs="Times New Roman"/>
                <w:color w:val="000000"/>
              </w:rPr>
              <w:t>茶坑水库40.5米正常水位线内的除一级保护区外的水域，入库山溪水上溯3000米的河段水域</w:t>
            </w:r>
          </w:p>
        </w:tc>
        <w:tc>
          <w:tcPr>
            <w:tcW w:w="1829" w:type="dxa"/>
            <w:vAlign w:val="center"/>
          </w:tcPr>
          <w:p>
            <w:pPr>
              <w:pStyle w:val="9"/>
              <w:rPr>
                <w:snapToGrid w:val="0"/>
              </w:rPr>
            </w:pPr>
            <w:r>
              <w:rPr>
                <w:rFonts w:cs="Times New Roman"/>
                <w:color w:val="000000"/>
              </w:rPr>
              <w:t>茶坑水库33.8平方公里集雨范围内的陆域范围</w:t>
            </w:r>
          </w:p>
        </w:tc>
        <w:tc>
          <w:tcPr>
            <w:tcW w:w="2512" w:type="dxa"/>
            <w:vAlign w:val="center"/>
          </w:tcPr>
          <w:p>
            <w:pPr>
              <w:pStyle w:val="9"/>
              <w:rPr>
                <w:snapToGrid w:val="0"/>
              </w:rPr>
            </w:pPr>
            <w:r>
              <w:rPr>
                <w:rFonts w:cs="Times New Roman"/>
                <w:color w:val="000000"/>
              </w:rPr>
              <w:t>茶坑水库正常水位线内的除一级保护区外的水域</w:t>
            </w:r>
            <w:r>
              <w:rPr>
                <w:rFonts w:hint="eastAsia" w:cs="Times New Roman"/>
                <w:color w:val="000000"/>
              </w:rPr>
              <w:t>，</w:t>
            </w:r>
            <w:r>
              <w:rPr>
                <w:rFonts w:cs="Times New Roman"/>
                <w:color w:val="000000"/>
              </w:rPr>
              <w:t>入库山溪水上溯3000米的河段水域</w:t>
            </w:r>
          </w:p>
        </w:tc>
        <w:tc>
          <w:tcPr>
            <w:tcW w:w="1417" w:type="dxa"/>
            <w:vAlign w:val="center"/>
          </w:tcPr>
          <w:p>
            <w:pPr>
              <w:pStyle w:val="9"/>
              <w:rPr>
                <w:snapToGrid w:val="0"/>
              </w:rPr>
            </w:pPr>
            <w:r>
              <w:rPr>
                <w:rFonts w:cs="Times New Roman"/>
                <w:color w:val="000000"/>
              </w:rPr>
              <w:t>茶坑水库33.8平方公里集雨范围内的陆域范围</w:t>
            </w:r>
          </w:p>
        </w:tc>
        <w:tc>
          <w:tcPr>
            <w:tcW w:w="851" w:type="dxa"/>
            <w:vAlign w:val="center"/>
          </w:tcPr>
          <w:p>
            <w:pPr>
              <w:pStyle w:val="9"/>
              <w:rPr>
                <w:snapToGrid w:val="0"/>
              </w:rPr>
            </w:pPr>
            <w:r>
              <w:rPr>
                <w:snapToGrid w:val="0"/>
              </w:rPr>
              <w:t>Ⅱ类</w:t>
            </w:r>
          </w:p>
        </w:tc>
        <w:tc>
          <w:tcPr>
            <w:tcW w:w="1053" w:type="dxa"/>
            <w:vAlign w:val="center"/>
          </w:tcPr>
          <w:p>
            <w:pPr>
              <w:pStyle w:val="9"/>
              <w:rPr>
                <w:snapToGrid w:val="0"/>
              </w:rPr>
            </w:pPr>
            <w:r>
              <w:rPr>
                <w:rFonts w:hint="eastAsia"/>
                <w:snapToGrid w:val="0"/>
              </w:rPr>
              <w:t>调整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7" w:hRule="atLeast"/>
        </w:trPr>
        <w:tc>
          <w:tcPr>
            <w:tcW w:w="612" w:type="dxa"/>
            <w:vMerge w:val="continue"/>
            <w:vAlign w:val="center"/>
          </w:tcPr>
          <w:p>
            <w:pPr>
              <w:pStyle w:val="9"/>
              <w:rPr>
                <w:snapToGrid w:val="0"/>
              </w:rPr>
            </w:pPr>
          </w:p>
        </w:tc>
        <w:tc>
          <w:tcPr>
            <w:tcW w:w="943" w:type="dxa"/>
            <w:vMerge w:val="continue"/>
            <w:vAlign w:val="center"/>
          </w:tcPr>
          <w:p>
            <w:pPr>
              <w:pStyle w:val="9"/>
              <w:rPr>
                <w:snapToGrid w:val="0"/>
              </w:rPr>
            </w:pPr>
          </w:p>
        </w:tc>
        <w:tc>
          <w:tcPr>
            <w:tcW w:w="1197" w:type="dxa"/>
            <w:vAlign w:val="center"/>
          </w:tcPr>
          <w:p>
            <w:pPr>
              <w:pStyle w:val="9"/>
              <w:rPr>
                <w:rFonts w:hint="eastAsia"/>
                <w:snapToGrid w:val="0"/>
              </w:rPr>
            </w:pPr>
            <w:r>
              <w:rPr>
                <w:rFonts w:hint="eastAsia"/>
                <w:snapToGrid w:val="0"/>
              </w:rPr>
              <w:t>准保护区</w:t>
            </w:r>
          </w:p>
        </w:tc>
        <w:tc>
          <w:tcPr>
            <w:tcW w:w="3534" w:type="dxa"/>
            <w:vAlign w:val="center"/>
          </w:tcPr>
          <w:p>
            <w:pPr>
              <w:pStyle w:val="9"/>
              <w:rPr>
                <w:snapToGrid w:val="0"/>
              </w:rPr>
            </w:pPr>
            <w:r>
              <w:rPr>
                <w:rFonts w:cs="Times New Roman"/>
                <w:color w:val="000000"/>
              </w:rPr>
              <w:t>茶坑水库入库山溪水上溯3000米起至10000米的河段水域</w:t>
            </w:r>
          </w:p>
        </w:tc>
        <w:tc>
          <w:tcPr>
            <w:tcW w:w="1829" w:type="dxa"/>
            <w:vAlign w:val="center"/>
          </w:tcPr>
          <w:p>
            <w:pPr>
              <w:pStyle w:val="9"/>
              <w:rPr>
                <w:snapToGrid w:val="0"/>
              </w:rPr>
            </w:pPr>
            <w:r>
              <w:rPr>
                <w:rFonts w:cs="Times New Roman"/>
                <w:color w:val="000000"/>
              </w:rPr>
              <w:t>/</w:t>
            </w:r>
          </w:p>
        </w:tc>
        <w:tc>
          <w:tcPr>
            <w:tcW w:w="2512" w:type="dxa"/>
            <w:vAlign w:val="center"/>
          </w:tcPr>
          <w:p>
            <w:pPr>
              <w:pStyle w:val="9"/>
              <w:rPr>
                <w:snapToGrid w:val="0"/>
              </w:rPr>
            </w:pPr>
            <w:r>
              <w:rPr>
                <w:rFonts w:hint="eastAsia"/>
                <w:snapToGrid w:val="0"/>
              </w:rPr>
              <w:t>/</w:t>
            </w:r>
          </w:p>
        </w:tc>
        <w:tc>
          <w:tcPr>
            <w:tcW w:w="1417" w:type="dxa"/>
            <w:vAlign w:val="center"/>
          </w:tcPr>
          <w:p>
            <w:pPr>
              <w:pStyle w:val="9"/>
              <w:rPr>
                <w:snapToGrid w:val="0"/>
              </w:rPr>
            </w:pPr>
            <w:r>
              <w:rPr>
                <w:rFonts w:hint="eastAsia"/>
                <w:snapToGrid w:val="0"/>
              </w:rPr>
              <w:t>/</w:t>
            </w:r>
          </w:p>
        </w:tc>
        <w:tc>
          <w:tcPr>
            <w:tcW w:w="851" w:type="dxa"/>
            <w:vAlign w:val="center"/>
          </w:tcPr>
          <w:p>
            <w:pPr>
              <w:pStyle w:val="9"/>
              <w:rPr>
                <w:snapToGrid w:val="0"/>
              </w:rPr>
            </w:pPr>
            <w:r>
              <w:rPr>
                <w:rFonts w:hint="eastAsia"/>
                <w:snapToGrid w:val="0"/>
              </w:rPr>
              <w:t>/</w:t>
            </w:r>
          </w:p>
        </w:tc>
        <w:tc>
          <w:tcPr>
            <w:tcW w:w="1053" w:type="dxa"/>
            <w:vAlign w:val="center"/>
          </w:tcPr>
          <w:p>
            <w:pPr>
              <w:pStyle w:val="9"/>
              <w:rPr>
                <w:snapToGrid w:val="0"/>
              </w:rPr>
            </w:pPr>
            <w:r>
              <w:rPr>
                <w:rFonts w:hint="eastAsia"/>
                <w:snapToGrid w:val="0"/>
              </w:rPr>
              <w:t>取消</w:t>
            </w:r>
          </w:p>
        </w:tc>
      </w:tr>
    </w:tbl>
    <w:p>
      <w:pPr>
        <w:widowControl/>
        <w:snapToGrid/>
        <w:spacing w:after="160" w:line="278" w:lineRule="auto"/>
        <w:ind w:firstLine="0" w:firstLineChars="0"/>
        <w:jc w:val="left"/>
        <w:rPr>
          <w:color w:val="000000"/>
        </w:rPr>
        <w:sectPr>
          <w:headerReference r:id="rId12" w:type="default"/>
          <w:pgSz w:w="16838" w:h="11906" w:orient="landscape"/>
          <w:pgMar w:top="1800" w:right="1440" w:bottom="1800" w:left="1440" w:header="851" w:footer="992" w:gutter="0"/>
          <w:cols w:space="425" w:num="1"/>
          <w:docGrid w:type="lines" w:linePitch="312" w:charSpace="0"/>
        </w:sectPr>
      </w:pPr>
    </w:p>
    <w:p>
      <w:pPr>
        <w:ind w:firstLine="0" w:firstLineChars="0"/>
        <w:jc w:val="center"/>
        <w:rPr>
          <w:color w:val="000000"/>
        </w:rPr>
      </w:pPr>
      <w:r>
        <w:rPr>
          <w:color w:val="000000"/>
        </w:rPr>
        <w:drawing>
          <wp:inline distT="0" distB="0" distL="0" distR="0">
            <wp:extent cx="6991350" cy="4940300"/>
            <wp:effectExtent l="0" t="0" r="3810" b="12700"/>
            <wp:docPr id="1028" name="图片 68"/>
            <wp:cNvGraphicFramePr/>
            <a:graphic xmlns:a="http://schemas.openxmlformats.org/drawingml/2006/main">
              <a:graphicData uri="http://schemas.openxmlformats.org/drawingml/2006/picture">
                <pic:pic xmlns:pic="http://schemas.openxmlformats.org/drawingml/2006/picture">
                  <pic:nvPicPr>
                    <pic:cNvPr id="1028" name="图片 68"/>
                    <pic:cNvPicPr/>
                  </pic:nvPicPr>
                  <pic:blipFill>
                    <a:blip r:embed="rId16" cstate="print"/>
                    <a:srcRect/>
                    <a:stretch>
                      <a:fillRect/>
                    </a:stretch>
                  </pic:blipFill>
                  <pic:spPr>
                    <a:xfrm>
                      <a:off x="0" y="0"/>
                      <a:ext cx="6991350" cy="4940300"/>
                    </a:xfrm>
                    <a:prstGeom prst="rect">
                      <a:avLst/>
                    </a:prstGeom>
                    <a:ln>
                      <a:noFill/>
                    </a:ln>
                  </pic:spPr>
                </pic:pic>
              </a:graphicData>
            </a:graphic>
          </wp:inline>
        </w:drawing>
      </w:r>
    </w:p>
    <w:p>
      <w:pPr>
        <w:ind w:firstLine="0" w:firstLineChars="0"/>
        <w:jc w:val="center"/>
        <w:rPr>
          <w:color w:val="000000"/>
        </w:rPr>
        <w:sectPr>
          <w:pgSz w:w="16838" w:h="11906" w:orient="landscape"/>
          <w:pgMar w:top="1800" w:right="1440" w:bottom="1800" w:left="1440" w:header="851" w:footer="992" w:gutter="0"/>
          <w:cols w:space="720" w:num="1" w:sep="1"/>
          <w:docGrid w:type="lines" w:linePitch="312" w:charSpace="0"/>
        </w:sectPr>
      </w:pPr>
      <w:r>
        <w:rPr>
          <w:rFonts w:hint="eastAsia"/>
          <w:b/>
          <w:bCs/>
          <w:color w:val="000000"/>
        </w:rPr>
        <w:t>调整前阳山县饮用水</w:t>
      </w:r>
      <w:r>
        <w:rPr>
          <w:rFonts w:hint="eastAsia"/>
          <w:b/>
          <w:bCs/>
          <w:color w:val="000000"/>
          <w:lang w:eastAsia="zh-CN"/>
        </w:rPr>
        <w:t>水</w:t>
      </w:r>
      <w:r>
        <w:rPr>
          <w:rFonts w:hint="eastAsia"/>
          <w:b/>
          <w:bCs/>
          <w:color w:val="000000"/>
        </w:rPr>
        <w:t>源保护区（茶坑水库）示意图</w:t>
      </w:r>
    </w:p>
    <w:p>
      <w:pPr>
        <w:ind w:firstLine="0" w:firstLineChars="0"/>
        <w:rPr>
          <w:color w:val="000000"/>
        </w:rPr>
      </w:pPr>
      <w:r>
        <w:rPr>
          <w:color w:val="000000"/>
        </w:rPr>
        <w:drawing>
          <wp:inline distT="0" distB="0" distL="0" distR="0">
            <wp:extent cx="5274310" cy="7464425"/>
            <wp:effectExtent l="0" t="0" r="2540" b="3175"/>
            <wp:docPr id="1029" name="图片 69"/>
            <wp:cNvGraphicFramePr/>
            <a:graphic xmlns:a="http://schemas.openxmlformats.org/drawingml/2006/main">
              <a:graphicData uri="http://schemas.openxmlformats.org/drawingml/2006/picture">
                <pic:pic xmlns:pic="http://schemas.openxmlformats.org/drawingml/2006/picture">
                  <pic:nvPicPr>
                    <pic:cNvPr id="1029" name="图片 69"/>
                    <pic:cNvPicPr/>
                  </pic:nvPicPr>
                  <pic:blipFill>
                    <a:blip r:embed="rId17" cstate="print"/>
                    <a:srcRect/>
                    <a:stretch>
                      <a:fillRect/>
                    </a:stretch>
                  </pic:blipFill>
                  <pic:spPr>
                    <a:xfrm>
                      <a:off x="0" y="0"/>
                      <a:ext cx="5274310" cy="7464425"/>
                    </a:xfrm>
                    <a:prstGeom prst="rect">
                      <a:avLst/>
                    </a:prstGeom>
                    <a:ln>
                      <a:noFill/>
                    </a:ln>
                  </pic:spPr>
                </pic:pic>
              </a:graphicData>
            </a:graphic>
          </wp:inline>
        </w:drawing>
      </w:r>
    </w:p>
    <w:p>
      <w:pPr>
        <w:ind w:firstLine="0" w:firstLineChars="0"/>
        <w:jc w:val="center"/>
        <w:rPr>
          <w:rFonts w:hint="eastAsia"/>
          <w:b/>
          <w:bCs/>
          <w:color w:val="000000"/>
        </w:rPr>
      </w:pPr>
      <w:r>
        <w:rPr>
          <w:rFonts w:hint="eastAsia"/>
          <w:b/>
          <w:bCs/>
          <w:color w:val="000000"/>
        </w:rPr>
        <w:t>调整后阳山县饮用水</w:t>
      </w:r>
      <w:r>
        <w:rPr>
          <w:rFonts w:hint="eastAsia"/>
          <w:b/>
          <w:bCs/>
          <w:color w:val="000000"/>
          <w:lang w:eastAsia="zh-CN"/>
        </w:rPr>
        <w:t>水</w:t>
      </w:r>
      <w:r>
        <w:rPr>
          <w:rFonts w:hint="eastAsia"/>
          <w:b/>
          <w:bCs/>
          <w:color w:val="000000"/>
        </w:rPr>
        <w:t>源保护区（茶坑水库）示意图</w:t>
      </w:r>
    </w:p>
    <w:p>
      <w:pPr>
        <w:widowControl/>
        <w:snapToGrid/>
        <w:spacing w:after="160" w:line="278" w:lineRule="auto"/>
        <w:ind w:firstLine="0" w:firstLineChars="0"/>
        <w:jc w:val="left"/>
        <w:rPr>
          <w:color w:val="000000"/>
        </w:rPr>
      </w:pP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楷体">
    <w:altName w:val="宋体"/>
    <w:panose1 w:val="020106000400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jc w:val="center"/>
    </w:pPr>
  </w:p>
  <w:p>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rFonts w:hint="eastAsia"/>
        <w:sz w:val="18"/>
        <w:szCs w:val="18"/>
      </w:rPr>
      <w:t>阳山县饮用水</w:t>
    </w:r>
    <w:r>
      <w:rPr>
        <w:rFonts w:hint="eastAsia"/>
        <w:sz w:val="18"/>
        <w:szCs w:val="18"/>
        <w:lang w:eastAsia="zh-CN"/>
      </w:rPr>
      <w:t>水</w:t>
    </w:r>
    <w:r>
      <w:rPr>
        <w:rFonts w:hint="eastAsia"/>
        <w:sz w:val="18"/>
        <w:szCs w:val="18"/>
      </w:rPr>
      <w:t>源保护区（茶坑水库）</w:t>
    </w:r>
    <w:r>
      <w:rPr>
        <w:sz w:val="18"/>
        <w:szCs w:val="18"/>
      </w:rPr>
      <w:t>调整</w:t>
    </w:r>
    <w:r>
      <w:rPr>
        <w:rFonts w:hint="eastAsia"/>
        <w:sz w:val="18"/>
        <w:szCs w:val="18"/>
      </w:rPr>
      <w:t>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rPr>
        <w:sz w:val="18"/>
        <w:szCs w:val="18"/>
      </w:rPr>
    </w:pPr>
    <w:r>
      <w:rPr>
        <w:rFonts w:hint="eastAsia"/>
        <w:sz w:val="18"/>
        <w:szCs w:val="18"/>
      </w:rPr>
      <w:t>阳山县饮用水</w:t>
    </w:r>
    <w:r>
      <w:rPr>
        <w:rFonts w:hint="eastAsia"/>
        <w:sz w:val="18"/>
        <w:szCs w:val="18"/>
        <w:lang w:eastAsia="zh-CN"/>
      </w:rPr>
      <w:t>水</w:t>
    </w:r>
    <w:r>
      <w:rPr>
        <w:rFonts w:hint="eastAsia"/>
        <w:sz w:val="18"/>
        <w:szCs w:val="18"/>
      </w:rPr>
      <w:t>源保护区（茶坑水库）</w:t>
    </w:r>
    <w:r>
      <w:rPr>
        <w:sz w:val="18"/>
        <w:szCs w:val="18"/>
      </w:rPr>
      <w:t>调整</w:t>
    </w:r>
    <w:r>
      <w:rPr>
        <w:rFonts w:hint="eastAsia"/>
        <w:sz w:val="18"/>
        <w:szCs w:val="18"/>
      </w:rPr>
      <w:t>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chineseCountingThousand"/>
      <w:pStyle w:val="2"/>
      <w:lvlText w:val="%1、"/>
      <w:lvlJc w:val="left"/>
      <w:pPr>
        <w:ind w:left="425" w:hanging="425"/>
      </w:pPr>
      <w:rPr>
        <w:rFonts w:hint="default" w:ascii="Times New Roman" w:hAnsi="Times New Roman" w:eastAsia="宋体"/>
        <w:b/>
        <w:i w:val="0"/>
        <w:sz w:val="32"/>
      </w:rPr>
    </w:lvl>
    <w:lvl w:ilvl="1" w:tentative="0">
      <w:start w:val="1"/>
      <w:numFmt w:val="decimal"/>
      <w:pStyle w:val="3"/>
      <w:isLgl/>
      <w:lvlText w:val="%1.%2"/>
      <w:lvlJc w:val="left"/>
      <w:pPr>
        <w:ind w:left="567" w:hanging="567"/>
      </w:pPr>
      <w:rPr>
        <w:rFonts w:hint="eastAsia"/>
      </w:rPr>
    </w:lvl>
    <w:lvl w:ilvl="2" w:tentative="0">
      <w:start w:val="1"/>
      <w:numFmt w:val="decimal"/>
      <w:pStyle w:val="4"/>
      <w:isLgl/>
      <w:lvlText w:val="%1.%2.%3"/>
      <w:lvlJc w:val="left"/>
      <w:pPr>
        <w:ind w:left="0" w:firstLine="0"/>
      </w:p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601E3F"/>
    <w:rsid w:val="6BA028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after="0" w:line="360" w:lineRule="auto"/>
      <w:ind w:firstLine="200" w:firstLineChars="200"/>
      <w:jc w:val="both"/>
    </w:pPr>
    <w:rPr>
      <w:rFonts w:ascii="Times New Roman" w:hAnsi="Times New Roman" w:eastAsia="宋体" w:cs="宋体"/>
      <w:kern w:val="2"/>
      <w:sz w:val="24"/>
      <w:szCs w:val="22"/>
      <w:lang w:val="en-US" w:eastAsia="zh-CN" w:bidi="ar-SA"/>
      <w14:ligatures w14:val="standardContextual"/>
    </w:rPr>
  </w:style>
  <w:style w:type="paragraph" w:styleId="2">
    <w:name w:val="heading 1"/>
    <w:next w:val="1"/>
    <w:qFormat/>
    <w:uiPriority w:val="9"/>
    <w:pPr>
      <w:keepNext/>
      <w:keepLines/>
      <w:numPr>
        <w:ilvl w:val="0"/>
        <w:numId w:val="1"/>
      </w:numPr>
      <w:spacing w:before="160" w:after="360" w:line="278" w:lineRule="auto"/>
      <w:ind w:left="0" w:firstLine="0"/>
      <w:jc w:val="center"/>
      <w:outlineLvl w:val="0"/>
    </w:pPr>
    <w:rPr>
      <w:rFonts w:ascii="Times New Roman" w:hAnsi="Times New Roman" w:eastAsia="宋体" w:cs="宋体"/>
      <w:b/>
      <w:color w:val="000000"/>
      <w:kern w:val="2"/>
      <w:sz w:val="32"/>
      <w:szCs w:val="48"/>
      <w:lang w:val="en-US" w:eastAsia="zh-CN" w:bidi="ar-SA"/>
      <w14:ligatures w14:val="standardContextual"/>
    </w:rPr>
  </w:style>
  <w:style w:type="paragraph" w:styleId="3">
    <w:name w:val="heading 2"/>
    <w:next w:val="1"/>
    <w:qFormat/>
    <w:uiPriority w:val="9"/>
    <w:pPr>
      <w:keepNext/>
      <w:keepLines/>
      <w:numPr>
        <w:ilvl w:val="1"/>
        <w:numId w:val="1"/>
      </w:numPr>
      <w:spacing w:before="120" w:after="120" w:line="278" w:lineRule="auto"/>
      <w:outlineLvl w:val="1"/>
    </w:pPr>
    <w:rPr>
      <w:rFonts w:ascii="Times New Roman" w:hAnsi="Times New Roman" w:eastAsia="宋体" w:cs="宋体"/>
      <w:b/>
      <w:color w:val="000000"/>
      <w:kern w:val="2"/>
      <w:sz w:val="30"/>
      <w:szCs w:val="40"/>
      <w:lang w:val="en-US" w:eastAsia="zh-CN" w:bidi="ar-SA"/>
      <w14:ligatures w14:val="standardContextual"/>
    </w:rPr>
  </w:style>
  <w:style w:type="paragraph" w:styleId="4">
    <w:name w:val="heading 3"/>
    <w:next w:val="1"/>
    <w:qFormat/>
    <w:uiPriority w:val="0"/>
    <w:pPr>
      <w:keepNext/>
      <w:keepLines/>
      <w:numPr>
        <w:ilvl w:val="2"/>
        <w:numId w:val="1"/>
      </w:numPr>
      <w:adjustRightInd w:val="0"/>
      <w:spacing w:after="160" w:line="278" w:lineRule="auto"/>
      <w:ind w:firstLine="200" w:firstLineChars="200"/>
      <w:outlineLvl w:val="2"/>
    </w:pPr>
    <w:rPr>
      <w:rFonts w:ascii="Times New Roman" w:hAnsi="Times New Roman" w:eastAsia="宋体" w:cs="宋体"/>
      <w:b/>
      <w:color w:val="000000"/>
      <w:kern w:val="2"/>
      <w:sz w:val="28"/>
      <w:szCs w:val="32"/>
      <w:lang w:val="en-US" w:eastAsia="zh-CN" w:bidi="ar-SA"/>
      <w14:ligatures w14:val="standardContextual"/>
    </w:rPr>
  </w:style>
  <w:style w:type="character" w:default="1" w:styleId="8">
    <w:name w:val="Default Paragraph Font"/>
    <w:qFormat/>
    <w:uiPriority w:val="0"/>
  </w:style>
  <w:style w:type="table" w:default="1" w:styleId="7">
    <w:name w:val="Normal Table"/>
    <w:qFormat/>
    <w:uiPriority w:val="0"/>
    <w:tblPr>
      <w:tblCellMar>
        <w:top w:w="0" w:type="dxa"/>
        <w:left w:w="108" w:type="dxa"/>
        <w:bottom w:w="0" w:type="dxa"/>
        <w:right w:w="108" w:type="dxa"/>
      </w:tblCellMar>
    </w:tblPr>
  </w:style>
  <w:style w:type="paragraph" w:styleId="5">
    <w:name w:val="footer"/>
    <w:basedOn w:val="1"/>
    <w:qFormat/>
    <w:uiPriority w:val="99"/>
    <w:pPr>
      <w:tabs>
        <w:tab w:val="center" w:pos="4153"/>
        <w:tab w:val="right" w:pos="8306"/>
      </w:tabs>
      <w:jc w:val="left"/>
    </w:pPr>
    <w:rPr>
      <w:sz w:val="18"/>
      <w:szCs w:val="18"/>
    </w:rPr>
  </w:style>
  <w:style w:type="paragraph" w:styleId="6">
    <w:name w:val="header"/>
    <w:basedOn w:val="1"/>
    <w:qFormat/>
    <w:uiPriority w:val="99"/>
    <w:pPr>
      <w:tabs>
        <w:tab w:val="center" w:pos="4153"/>
        <w:tab w:val="right" w:pos="8306"/>
      </w:tabs>
      <w:jc w:val="center"/>
    </w:pPr>
    <w:rPr>
      <w:sz w:val="18"/>
      <w:szCs w:val="18"/>
    </w:rPr>
  </w:style>
  <w:style w:type="paragraph" w:customStyle="1" w:styleId="9">
    <w:name w:val="表格"/>
    <w:qFormat/>
    <w:uiPriority w:val="0"/>
    <w:pPr>
      <w:snapToGrid w:val="0"/>
      <w:spacing w:after="0" w:line="240" w:lineRule="auto"/>
      <w:jc w:val="center"/>
    </w:pPr>
    <w:rPr>
      <w:rFonts w:ascii="Times New Roman" w:hAnsi="Times New Roman" w:eastAsia="宋体" w:cs="宋体"/>
      <w:color w:val="000000"/>
      <w:kern w:val="0"/>
      <w:sz w:val="21"/>
      <w:szCs w:val="21"/>
      <w:lang w:val="en-US" w:eastAsia="zh-CN"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wmf"/><Relationship Id="rId14" Type="http://schemas.openxmlformats.org/officeDocument/2006/relationships/image" Target="media/image1.wmf"/><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3034</Words>
  <Characters>3152</Characters>
  <Paragraphs>146</Paragraphs>
  <TotalTime>1</TotalTime>
  <ScaleCrop>false</ScaleCrop>
  <LinksUpToDate>false</LinksUpToDate>
  <CharactersWithSpaces>3157</CharactersWithSpaces>
  <Application>WPS Office_11.8.2.12287_F1E327BC-269C-435d-A152-05C5408002CA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2026-02-13T08:23:00Z</dcterms:created>
  <dc:creator>陈洁</dc:creator>
  <cp:lastModifiedBy>方羚</cp:lastModifiedBy>
  <cp:lastPrinted>2026-02-14T02:59:00Z</cp:lastPrinted>
  <dcterms:modified xsi:type="dcterms:W3CDTF">2026-02-14T03:29:51Z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2052-11.8.2.12287</vt:lpwstr>
  </property>
  <property fmtid="{D5CDD505-2E9C-101B-9397-08002B2CF9AE}" pid="3" name="KSOTemplateDocerSaveRecord">
    <vt:lpwstr>eyJoZGlkIjoiYjEwZTBmNTE4MmQwNzk2ZmJhNzZlZmQzN2Y0NWM5ODMiLCJ1c2VySWQiOiI1MjQwOTI2NDkifQ==</vt:lpwstr>
  </property>
  <property fmtid="{D5CDD505-2E9C-101B-9397-08002B2CF9AE}" pid="4" name="ICV">
    <vt:lpwstr>5b0432dd75364f50b695d02bd9f3e2c4_23</vt:lpwstr>
  </property>
</Properties>
</file>