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eastAsia="黑体" w:cs="Times New Roman"/>
          <w:color w:val="auto"/>
          <w:sz w:val="32"/>
          <w:szCs w:val="32"/>
          <w:highlight w:val="none"/>
          <w:lang w:val="en-US" w:eastAsia="zh-CN"/>
        </w:rPr>
        <w:t>5</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eastAsia="方正小标宋简体" w:cs="方正小标宋简体"/>
          <w:color w:val="auto"/>
          <w:sz w:val="44"/>
          <w:szCs w:val="44"/>
          <w:highlight w:val="none"/>
          <w:lang w:val="en-US" w:eastAsia="zh-CN"/>
        </w:rPr>
        <w:t>阳山县</w:t>
      </w:r>
      <w:r>
        <w:rPr>
          <w:rFonts w:hint="eastAsia" w:ascii="Times New Roman" w:hAnsi="Times New Roman" w:eastAsia="方正小标宋简体" w:cs="方正小标宋简体"/>
          <w:color w:val="auto"/>
          <w:sz w:val="44"/>
          <w:szCs w:val="44"/>
          <w:highlight w:val="none"/>
          <w:lang w:val="en-US" w:eastAsia="zh-CN"/>
        </w:rPr>
        <w:t>燃气用不锈钢波纹软管</w:t>
      </w:r>
      <w:r>
        <w:rPr>
          <w:rFonts w:hint="eastAsia" w:ascii="Times New Roman" w:hAnsi="Times New Roman" w:eastAsia="方正小标宋简体" w:cs="方正小标宋简体"/>
          <w:color w:val="auto"/>
          <w:sz w:val="44"/>
          <w:szCs w:val="44"/>
          <w:highlight w:val="none"/>
        </w:rPr>
        <w:t>产品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质量监督抽查实施细则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 xml:space="preserve">1 </w:t>
      </w:r>
      <w:r>
        <w:rPr>
          <w:rFonts w:hint="eastAsia" w:ascii="Times New Roman" w:hAnsi="Times New Roman" w:eastAsia="黑体" w:cs="Times New Roman"/>
          <w:color w:val="auto"/>
          <w:kern w:val="2"/>
          <w:sz w:val="32"/>
          <w:szCs w:val="32"/>
          <w:highlight w:val="none"/>
          <w:lang w:val="en-US" w:eastAsia="zh-CN" w:bidi="ar-SA"/>
        </w:rPr>
        <w:t>抽样方法</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以随机抽样的方式在被抽样生产者、销售者的待销产品中抽取。</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随机数一般可使用随机数表等方法产生。</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hint="eastAsia" w:ascii="Times New Roman" w:hAnsi="Times New Roman" w:eastAsia="仿宋_GB2312" w:cs="仿宋_GB2312"/>
          <w:color w:val="auto"/>
          <w:sz w:val="32"/>
          <w:szCs w:val="32"/>
          <w:highlight w:val="none"/>
          <w:lang w:bidi="ar"/>
        </w:rPr>
      </w:pPr>
      <w:r>
        <w:rPr>
          <w:rFonts w:hint="eastAsia" w:ascii="Times New Roman" w:hAnsi="Times New Roman" w:eastAsia="仿宋_GB2312" w:cs="仿宋_GB2312"/>
          <w:color w:val="auto"/>
          <w:sz w:val="32"/>
          <w:szCs w:val="32"/>
          <w:highlight w:val="none"/>
          <w:lang w:bidi="ar"/>
        </w:rPr>
        <w:t>每批次产品抽取</w:t>
      </w:r>
      <w:r>
        <w:rPr>
          <w:rFonts w:ascii="Times New Roman" w:hAnsi="Times New Roman" w:eastAsia="仿宋_GB2312" w:cs="Times New Roman"/>
          <w:color w:val="auto"/>
          <w:sz w:val="32"/>
          <w:szCs w:val="32"/>
          <w:highlight w:val="none"/>
          <w:lang w:bidi="ar"/>
        </w:rPr>
        <w:t>2</w:t>
      </w:r>
      <w:r>
        <w:rPr>
          <w:rFonts w:hint="eastAsia" w:ascii="Times New Roman" w:hAnsi="Times New Roman" w:eastAsia="仿宋_GB2312" w:cs="仿宋_GB2312"/>
          <w:color w:val="auto"/>
          <w:sz w:val="32"/>
          <w:szCs w:val="32"/>
          <w:highlight w:val="none"/>
          <w:lang w:bidi="ar"/>
        </w:rPr>
        <w:t>组样本，第</w:t>
      </w:r>
      <w:r>
        <w:rPr>
          <w:rFonts w:ascii="Times New Roman" w:hAnsi="Times New Roman" w:eastAsia="仿宋_GB2312" w:cs="Times New Roman"/>
          <w:color w:val="auto"/>
          <w:sz w:val="32"/>
          <w:szCs w:val="32"/>
          <w:highlight w:val="none"/>
          <w:lang w:bidi="ar"/>
        </w:rPr>
        <w:t>1</w:t>
      </w:r>
      <w:r>
        <w:rPr>
          <w:rFonts w:hint="eastAsia" w:ascii="Times New Roman" w:hAnsi="Times New Roman" w:eastAsia="仿宋_GB2312" w:cs="仿宋_GB2312"/>
          <w:color w:val="auto"/>
          <w:sz w:val="32"/>
          <w:szCs w:val="32"/>
          <w:highlight w:val="none"/>
          <w:lang w:bidi="ar"/>
        </w:rPr>
        <w:t>组用于检验，第</w:t>
      </w:r>
      <w:r>
        <w:rPr>
          <w:rFonts w:ascii="Times New Roman" w:hAnsi="Times New Roman" w:eastAsia="仿宋_GB2312" w:cs="Times New Roman"/>
          <w:color w:val="auto"/>
          <w:sz w:val="32"/>
          <w:szCs w:val="32"/>
          <w:highlight w:val="none"/>
          <w:lang w:bidi="ar"/>
        </w:rPr>
        <w:t>2</w:t>
      </w:r>
      <w:r>
        <w:rPr>
          <w:rFonts w:hint="eastAsia" w:ascii="Times New Roman" w:hAnsi="Times New Roman" w:eastAsia="仿宋_GB2312" w:cs="仿宋_GB2312"/>
          <w:color w:val="auto"/>
          <w:sz w:val="32"/>
          <w:szCs w:val="32"/>
          <w:highlight w:val="none"/>
          <w:lang w:bidi="ar"/>
        </w:rPr>
        <w:t>组用于备样。</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具体抽样数量和方法如下：</w:t>
      </w:r>
    </w:p>
    <w:tbl>
      <w:tblPr>
        <w:tblStyle w:val="3"/>
        <w:tblW w:w="9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4436"/>
        <w:gridCol w:w="196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序号</w:t>
            </w:r>
          </w:p>
        </w:tc>
        <w:tc>
          <w:tcPr>
            <w:tcW w:w="44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产品名称</w:t>
            </w:r>
          </w:p>
        </w:tc>
        <w:tc>
          <w:tcPr>
            <w:tcW w:w="19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第1组数量</w:t>
            </w:r>
          </w:p>
        </w:tc>
        <w:tc>
          <w:tcPr>
            <w:tcW w:w="17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lang w:eastAsia="zh-CN"/>
              </w:rPr>
            </w:pPr>
            <w:r>
              <w:rPr>
                <w:rFonts w:hint="eastAsia" w:cs="仿宋_GB2312"/>
                <w:color w:val="auto"/>
                <w:sz w:val="28"/>
                <w:szCs w:val="28"/>
                <w:highlight w:val="none"/>
                <w:lang w:val="en-US" w:eastAsia="zh-CN"/>
              </w:rPr>
              <w:t>1</w:t>
            </w:r>
          </w:p>
        </w:tc>
        <w:tc>
          <w:tcPr>
            <w:tcW w:w="4436"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燃气用不锈钢波纹软管</w:t>
            </w:r>
          </w:p>
        </w:tc>
        <w:tc>
          <w:tcPr>
            <w:tcW w:w="19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3根</w:t>
            </w:r>
          </w:p>
        </w:tc>
        <w:tc>
          <w:tcPr>
            <w:tcW w:w="17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3根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备注：</w:t>
            </w:r>
          </w:p>
        </w:tc>
        <w:tc>
          <w:tcPr>
            <w:tcW w:w="819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tabs>
                <w:tab w:val="left" w:pos="1799"/>
                <w:tab w:val="center" w:pos="4007"/>
              </w:tabs>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w:t>
            </w:r>
          </w:p>
        </w:tc>
      </w:tr>
    </w:tbl>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 xml:space="preserve">2 </w:t>
      </w:r>
      <w:r>
        <w:rPr>
          <w:rFonts w:hint="eastAsia" w:ascii="Times New Roman" w:hAnsi="Times New Roman" w:eastAsia="黑体" w:cs="Times New Roman"/>
          <w:color w:val="auto"/>
          <w:kern w:val="2"/>
          <w:sz w:val="32"/>
          <w:szCs w:val="32"/>
          <w:highlight w:val="none"/>
          <w:lang w:val="en-US" w:eastAsia="zh-CN" w:bidi="ar-SA"/>
        </w:rPr>
        <w:t>检验依据</w:t>
      </w:r>
    </w:p>
    <w:tbl>
      <w:tblPr>
        <w:tblStyle w:val="3"/>
        <w:tblW w:w="91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5154"/>
        <w:gridCol w:w="31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tblHeader/>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序号</w:t>
            </w:r>
          </w:p>
        </w:tc>
        <w:tc>
          <w:tcPr>
            <w:tcW w:w="5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检验项目</w:t>
            </w:r>
          </w:p>
        </w:tc>
        <w:tc>
          <w:tcPr>
            <w:tcW w:w="3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b/>
                <w:bCs w:val="0"/>
                <w:color w:val="auto"/>
                <w:sz w:val="28"/>
                <w:szCs w:val="28"/>
                <w:highlight w:val="none"/>
              </w:rPr>
            </w:pPr>
            <w:r>
              <w:rPr>
                <w:rFonts w:hint="eastAsia" w:ascii="Times New Roman" w:hAnsi="Times New Roman" w:eastAsia="仿宋_GB2312" w:cs="仿宋_GB2312"/>
                <w:b/>
                <w:bCs w:val="0"/>
                <w:color w:val="auto"/>
                <w:sz w:val="28"/>
                <w:szCs w:val="28"/>
                <w:highlight w:val="none"/>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1</w:t>
            </w:r>
          </w:p>
        </w:tc>
        <w:tc>
          <w:tcPr>
            <w:tcW w:w="515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气密性</w:t>
            </w:r>
          </w:p>
        </w:tc>
        <w:tc>
          <w:tcPr>
            <w:tcW w:w="3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2</w:t>
            </w:r>
          </w:p>
        </w:tc>
        <w:tc>
          <w:tcPr>
            <w:tcW w:w="5154"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耐压性</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 w:hRule="atLeast"/>
          <w:jc w:val="center"/>
        </w:trPr>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3</w:t>
            </w:r>
          </w:p>
        </w:tc>
        <w:tc>
          <w:tcPr>
            <w:tcW w:w="515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弯曲性</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0" w:hRule="atLeast"/>
          <w:jc w:val="center"/>
        </w:trPr>
        <w:tc>
          <w:tcPr>
            <w:tcW w:w="90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4</w:t>
            </w:r>
          </w:p>
        </w:tc>
        <w:tc>
          <w:tcPr>
            <w:tcW w:w="51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耐安装强度</w:t>
            </w:r>
          </w:p>
        </w:tc>
        <w:tc>
          <w:tcPr>
            <w:tcW w:w="3113"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Times New Roman" w:hAnsi="Times New Roman" w:eastAsia="仿宋_GB2312" w:cs="仿宋_GB2312"/>
                <w:color w:val="auto"/>
                <w:sz w:val="28"/>
                <w:szCs w:val="28"/>
                <w:highlight w:val="none"/>
              </w:rPr>
            </w:pPr>
            <w:r>
              <w:rPr>
                <w:rFonts w:hint="eastAsia" w:ascii="Times New Roman" w:hAnsi="Times New Roman" w:eastAsia="仿宋_GB2312" w:cs="仿宋_GB2312"/>
                <w:color w:val="auto"/>
                <w:sz w:val="28"/>
                <w:szCs w:val="28"/>
                <w:highlight w:val="none"/>
              </w:rPr>
              <w:t>GB 41317—2024</w:t>
            </w:r>
          </w:p>
        </w:tc>
      </w:tr>
    </w:tbl>
    <w:p>
      <w:pPr>
        <w:keepNext w:val="0"/>
        <w:keepLines w:val="0"/>
        <w:pageBreakBefore w:val="0"/>
        <w:kinsoku/>
        <w:wordWrap/>
        <w:overflowPunct/>
        <w:topLinePunct w:val="0"/>
        <w:autoSpaceDE/>
        <w:autoSpaceDN/>
        <w:bidi w:val="0"/>
        <w:adjustRightInd w:val="0"/>
        <w:snapToGrid w:val="0"/>
        <w:spacing w:after="0" w:line="560" w:lineRule="exact"/>
        <w:ind w:firstLine="640"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执行企业标准、团体标准、地方标准的产品，检验项目参照上述内容执行。</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凡是注日期的文件，其随后所有的修改单（不包括勘误的内容）或修订版不适用于本细则。凡是不注日期的文件，其最新版本适用于本细则。</w:t>
      </w:r>
    </w:p>
    <w:p>
      <w:pPr>
        <w:keepNext w:val="0"/>
        <w:keepLines w:val="0"/>
        <w:pageBreakBefore w:val="0"/>
        <w:widowControl/>
        <w:kinsoku/>
        <w:wordWrap/>
        <w:overflowPunct/>
        <w:topLinePunct w:val="0"/>
        <w:autoSpaceDE/>
        <w:autoSpaceDN/>
        <w:bidi w:val="0"/>
        <w:spacing w:after="0" w:line="560" w:lineRule="exact"/>
        <w:ind w:firstLine="640" w:firstLineChars="200"/>
        <w:jc w:val="both"/>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 xml:space="preserve">3 </w:t>
      </w:r>
      <w:r>
        <w:rPr>
          <w:rFonts w:hint="eastAsia" w:ascii="Times New Roman" w:hAnsi="Times New Roman" w:eastAsia="黑体" w:cs="Times New Roman"/>
          <w:color w:val="auto"/>
          <w:kern w:val="2"/>
          <w:sz w:val="32"/>
          <w:szCs w:val="32"/>
          <w:highlight w:val="none"/>
          <w:lang w:val="en-US" w:eastAsia="zh-CN" w:bidi="ar-SA"/>
        </w:rPr>
        <w:t>判定规则</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3.1</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依据标准</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ascii="Times New Roman" w:hAnsi="Times New Roman" w:eastAsia="仿宋_GB2312" w:cs="仿宋_GB2312"/>
          <w:color w:val="auto"/>
          <w:sz w:val="32"/>
          <w:szCs w:val="32"/>
          <w:highlight w:val="none"/>
          <w:lang w:bidi="ar"/>
        </w:rPr>
      </w:pPr>
      <w:r>
        <w:rPr>
          <w:rFonts w:ascii="Times New Roman" w:hAnsi="Times New Roman" w:eastAsia="仿宋_GB2312" w:cs="Times New Roman"/>
          <w:color w:val="auto"/>
          <w:sz w:val="32"/>
          <w:szCs w:val="32"/>
          <w:highlight w:val="none"/>
          <w:lang w:bidi="ar"/>
        </w:rPr>
        <w:t>GB 41317—202</w:t>
      </w:r>
      <w:r>
        <w:rPr>
          <w:rFonts w:hint="eastAsia" w:ascii="Times New Roman" w:hAnsi="Times New Roman" w:eastAsia="仿宋_GB2312" w:cs="Times New Roman"/>
          <w:color w:val="auto"/>
          <w:sz w:val="32"/>
          <w:szCs w:val="32"/>
          <w:highlight w:val="none"/>
          <w:lang w:bidi="ar"/>
        </w:rPr>
        <w:t>4</w:t>
      </w:r>
      <w:r>
        <w:rPr>
          <w:rFonts w:hint="eastAsia" w:cs="Times New Roman"/>
          <w:color w:val="auto"/>
          <w:sz w:val="32"/>
          <w:szCs w:val="32"/>
          <w:highlight w:val="none"/>
          <w:lang w:eastAsia="zh-CN" w:bidi="ar"/>
        </w:rPr>
        <w:t>《</w:t>
      </w:r>
      <w:r>
        <w:rPr>
          <w:rFonts w:hint="eastAsia" w:ascii="Times New Roman" w:hAnsi="Times New Roman" w:eastAsia="仿宋_GB2312" w:cs="仿宋_GB2312"/>
          <w:color w:val="auto"/>
          <w:sz w:val="32"/>
          <w:szCs w:val="32"/>
          <w:highlight w:val="none"/>
          <w:lang w:bidi="ar"/>
        </w:rPr>
        <w:t>燃气用具连接用不锈钢波纹软管</w:t>
      </w:r>
      <w:r>
        <w:rPr>
          <w:rFonts w:hint="eastAsia" w:cs="仿宋_GB2312"/>
          <w:color w:val="auto"/>
          <w:sz w:val="32"/>
          <w:szCs w:val="32"/>
          <w:highlight w:val="none"/>
          <w:lang w:eastAsia="zh-CN" w:bidi="ar"/>
        </w:rPr>
        <w:t>》</w:t>
      </w:r>
    </w:p>
    <w:p>
      <w:pPr>
        <w:keepNext w:val="0"/>
        <w:keepLines w:val="0"/>
        <w:pageBreakBefore w:val="0"/>
        <w:kinsoku/>
        <w:wordWrap/>
        <w:overflowPunct/>
        <w:topLinePunct w:val="0"/>
        <w:autoSpaceDE/>
        <w:autoSpaceDN/>
        <w:bidi w:val="0"/>
        <w:snapToGrid w:val="0"/>
        <w:spacing w:after="0" w:line="560" w:lineRule="exact"/>
        <w:ind w:firstLine="596"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pacing w:val="-11"/>
          <w:sz w:val="32"/>
          <w:szCs w:val="32"/>
          <w:highlight w:val="none"/>
          <w:lang w:bidi="ar"/>
        </w:rPr>
        <w:t>现行有效的企业标准、团体标准、地方标准及产品明示质量</w:t>
      </w:r>
      <w:r>
        <w:rPr>
          <w:rFonts w:hint="eastAsia" w:ascii="Times New Roman" w:hAnsi="Times New Roman" w:eastAsia="仿宋_GB2312" w:cs="仿宋_GB2312"/>
          <w:color w:val="auto"/>
          <w:sz w:val="32"/>
          <w:szCs w:val="32"/>
          <w:highlight w:val="none"/>
          <w:lang w:bidi="ar"/>
        </w:rPr>
        <w:t>要求</w:t>
      </w:r>
      <w:r>
        <w:rPr>
          <w:rFonts w:ascii="Times New Roman" w:hAnsi="Times New Roman" w:eastAsia="仿宋_GB2312" w:cs="Times New Roman"/>
          <w:color w:val="auto"/>
          <w:sz w:val="32"/>
          <w:szCs w:val="32"/>
          <w:highlight w:val="none"/>
          <w:lang w:bidi="ar"/>
        </w:rPr>
        <w:t xml:space="preserve"> </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3.2</w:t>
      </w:r>
      <w:r>
        <w:rPr>
          <w:rFonts w:hint="eastAsia" w:ascii="Times New Roman" w:hAnsi="Times New Roman" w:eastAsia="楷体_GB2312" w:cs="楷体_GB2312"/>
          <w:color w:val="auto"/>
          <w:sz w:val="32"/>
          <w:szCs w:val="40"/>
          <w:highlight w:val="none"/>
          <w:lang w:val="en-US" w:eastAsia="zh-CN"/>
        </w:rPr>
        <w:t xml:space="preserve"> </w:t>
      </w:r>
      <w:r>
        <w:rPr>
          <w:rFonts w:hint="eastAsia" w:ascii="Times New Roman" w:hAnsi="Times New Roman" w:eastAsia="楷体_GB2312" w:cs="楷体_GB2312"/>
          <w:color w:val="auto"/>
          <w:sz w:val="32"/>
          <w:szCs w:val="40"/>
          <w:highlight w:val="none"/>
        </w:rPr>
        <w:t>判定原则</w:t>
      </w:r>
    </w:p>
    <w:p>
      <w:pPr>
        <w:keepNext w:val="0"/>
        <w:keepLines w:val="0"/>
        <w:pageBreakBefore w:val="0"/>
        <w:kinsoku/>
        <w:wordWrap/>
        <w:overflowPunct/>
        <w:topLinePunct w:val="0"/>
        <w:autoSpaceDE/>
        <w:autoSpaceDN/>
        <w:bidi w:val="0"/>
        <w:snapToGrid w:val="0"/>
        <w:spacing w:after="0" w:line="560" w:lineRule="exact"/>
        <w:ind w:firstLine="640" w:firstLineChars="200"/>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经检验，检验项目全部合格，判定为被抽查产品所检项目未发现不合格；检验项目中任一项或一项以上不合格，判定为被抽查产品不合格。</w:t>
      </w:r>
    </w:p>
    <w:p>
      <w:pPr>
        <w:keepNext w:val="0"/>
        <w:keepLines w:val="0"/>
        <w:pageBreakBefore w:val="0"/>
        <w:kinsoku/>
        <w:wordWrap/>
        <w:overflowPunct/>
        <w:topLinePunct w:val="0"/>
        <w:autoSpaceDE/>
        <w:autoSpaceDN/>
        <w:bidi w:val="0"/>
        <w:snapToGrid w:val="0"/>
        <w:spacing w:after="0" w:line="560" w:lineRule="exact"/>
        <w:ind w:firstLine="636" w:firstLineChars="199"/>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若被检产品明示的质量要求高于本细则中检验项目依据的标准要求时，应按被检产品明示的质量要求判定。</w:t>
      </w:r>
    </w:p>
    <w:p>
      <w:pPr>
        <w:keepNext w:val="0"/>
        <w:keepLines w:val="0"/>
        <w:pageBreakBefore w:val="0"/>
        <w:kinsoku/>
        <w:wordWrap/>
        <w:overflowPunct/>
        <w:topLinePunct w:val="0"/>
        <w:autoSpaceDE/>
        <w:autoSpaceDN/>
        <w:bidi w:val="0"/>
        <w:snapToGrid w:val="0"/>
        <w:spacing w:after="0" w:line="560" w:lineRule="exact"/>
        <w:ind w:firstLine="636" w:firstLineChars="199"/>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若被检产品明示的质量要求低于本细则中检验项目依据的强制性标准要求时，应按照强制性标准要求判定。</w:t>
      </w:r>
    </w:p>
    <w:p>
      <w:pPr>
        <w:keepNext w:val="0"/>
        <w:keepLines w:val="0"/>
        <w:pageBreakBefore w:val="0"/>
        <w:kinsoku/>
        <w:wordWrap/>
        <w:overflowPunct/>
        <w:topLinePunct w:val="0"/>
        <w:autoSpaceDE/>
        <w:autoSpaceDN/>
        <w:bidi w:val="0"/>
        <w:snapToGrid w:val="0"/>
        <w:spacing w:after="0" w:line="560" w:lineRule="exact"/>
        <w:ind w:firstLine="636" w:firstLineChars="199"/>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若被检产品明示的质量要求低于或包含本细则中检验项目依据的推荐性标准要求时，应以被检产品明示的质量要求判定。</w:t>
      </w:r>
    </w:p>
    <w:p>
      <w:pPr>
        <w:keepNext w:val="0"/>
        <w:keepLines w:val="0"/>
        <w:pageBreakBefore w:val="0"/>
        <w:kinsoku/>
        <w:wordWrap/>
        <w:overflowPunct/>
        <w:topLinePunct w:val="0"/>
        <w:autoSpaceDE/>
        <w:autoSpaceDN/>
        <w:bidi w:val="0"/>
        <w:snapToGrid w:val="0"/>
        <w:spacing w:after="0" w:line="560" w:lineRule="exact"/>
        <w:ind w:firstLine="636" w:firstLineChars="199"/>
        <w:textAlignment w:val="auto"/>
        <w:rPr>
          <w:rFonts w:ascii="Times New Roman" w:hAnsi="Times New Roman" w:eastAsia="宋体" w:cs="Times New Roman"/>
          <w:color w:val="auto"/>
          <w:sz w:val="21"/>
          <w:szCs w:val="32"/>
          <w:highlight w:val="none"/>
        </w:rPr>
      </w:pPr>
      <w:r>
        <w:rPr>
          <w:rFonts w:hint="eastAsia" w:ascii="Times New Roman" w:hAnsi="Times New Roman" w:eastAsia="仿宋_GB2312" w:cs="仿宋_GB2312"/>
          <w:color w:val="auto"/>
          <w:sz w:val="32"/>
          <w:szCs w:val="32"/>
          <w:highlight w:val="none"/>
          <w:lang w:bidi="ar"/>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color w:val="auto"/>
          <w:sz w:val="32"/>
          <w:szCs w:val="40"/>
          <w:highlight w:val="none"/>
        </w:rPr>
      </w:pPr>
      <w:r>
        <w:rPr>
          <w:rFonts w:hint="eastAsia" w:ascii="Times New Roman" w:hAnsi="Times New Roman" w:eastAsia="仿宋_GB2312" w:cs="仿宋_GB2312"/>
          <w:color w:val="auto"/>
          <w:sz w:val="32"/>
          <w:szCs w:val="32"/>
          <w:highlight w:val="none"/>
          <w:lang w:bidi="ar"/>
        </w:rPr>
        <w:t>若被检产品明示的质量要求缺少本细则中检验项目依据的推荐性标准要求时，该项目不参与判定</w:t>
      </w:r>
      <w:r>
        <w:rPr>
          <w:rFonts w:hint="eastAsia" w:ascii="Times New Roman" w:hAnsi="Times New Roman" w:cs="仿宋_GB2312"/>
          <w:color w:val="auto"/>
          <w:sz w:val="32"/>
          <w:szCs w:val="32"/>
          <w:highlight w:val="none"/>
          <w:lang w:eastAsia="zh-CN" w:bidi="ar"/>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21E42"/>
    <w:rsid w:val="50B21E42"/>
    <w:rsid w:val="682D3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2026-07-31T09:38:00Z</dcterms:created>
  <dc:creator>chalin</dc:creator>
  <cp:lastModifiedBy>chalin</cp:lastModifiedBy>
  <dcterms:modified xsi:type="dcterms:W3CDTF">2026-07-31T09:50:16Z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0AFBD169F8DD478390F203D5EA71C976</vt:lpwstr>
  </property>
</Properties>
</file>