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eastAsia="黑体" w:cs="Times New Roman"/>
          <w:color w:val="auto"/>
          <w:sz w:val="32"/>
          <w:szCs w:val="32"/>
          <w:highlight w:val="none"/>
          <w:lang w:val="en-US" w:eastAsia="zh-CN"/>
        </w:rPr>
        <w:t>4</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eastAsia="方正小标宋简体" w:cs="方正小标宋简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eastAsia="方正小标宋简体" w:cs="方正小标宋简体"/>
          <w:color w:val="auto"/>
          <w:sz w:val="44"/>
          <w:szCs w:val="44"/>
          <w:highlight w:val="none"/>
          <w:lang w:val="en-US" w:eastAsia="zh-CN"/>
        </w:rPr>
        <w:t>阳山县</w:t>
      </w:r>
      <w:r>
        <w:rPr>
          <w:rFonts w:hint="eastAsia" w:ascii="Times New Roman" w:hAnsi="Times New Roman" w:eastAsia="方正小标宋简体" w:cs="方正小标宋简体"/>
          <w:color w:val="auto"/>
          <w:sz w:val="44"/>
          <w:szCs w:val="44"/>
          <w:highlight w:val="none"/>
        </w:rPr>
        <w:t>校服产品质量监督抽查实施细则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黑体" w:cs="黑体"/>
          <w:color w:val="auto"/>
          <w:sz w:val="32"/>
          <w:szCs w:val="40"/>
          <w:highlight w:val="none"/>
        </w:rPr>
      </w:pPr>
      <w:r>
        <w:rPr>
          <w:rFonts w:hint="eastAsia" w:ascii="Times New Roman" w:hAnsi="Times New Roman" w:eastAsia="黑体" w:cs="黑体"/>
          <w:color w:val="auto"/>
          <w:sz w:val="32"/>
          <w:szCs w:val="40"/>
          <w:highlight w:val="none"/>
        </w:rPr>
        <w:t>1</w:t>
      </w:r>
      <w:r>
        <w:rPr>
          <w:rFonts w:hint="eastAsia" w:ascii="Times New Roman" w:hAnsi="Times New Roman" w:eastAsia="黑体" w:cs="黑体"/>
          <w:color w:val="auto"/>
          <w:sz w:val="32"/>
          <w:szCs w:val="40"/>
          <w:highlight w:val="none"/>
          <w:lang w:val="en-US" w:eastAsia="zh-CN"/>
        </w:rPr>
        <w:t xml:space="preserve"> </w:t>
      </w:r>
      <w:r>
        <w:rPr>
          <w:rFonts w:hint="eastAsia" w:ascii="Times New Roman" w:hAnsi="Times New Roman" w:eastAsia="黑体" w:cs="黑体"/>
          <w:color w:val="auto"/>
          <w:sz w:val="32"/>
          <w:szCs w:val="40"/>
          <w:highlight w:val="none"/>
        </w:rPr>
        <w:t>抽样方法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每批次产品抽取样品2件/条/套，其中1件/条/套作为检验样品</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1件/条/套作为备用样品。如产品属于短裤等尺寸较小产品，检验和备用样品各增加1条。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黑体" w:cs="黑体"/>
          <w:color w:val="auto"/>
          <w:sz w:val="32"/>
          <w:szCs w:val="40"/>
          <w:highlight w:val="none"/>
        </w:rPr>
      </w:pPr>
      <w:r>
        <w:rPr>
          <w:rFonts w:hint="eastAsia" w:ascii="Times New Roman" w:hAnsi="Times New Roman" w:eastAsia="黑体" w:cs="黑体"/>
          <w:color w:val="auto"/>
          <w:sz w:val="32"/>
          <w:szCs w:val="40"/>
          <w:highlight w:val="none"/>
        </w:rPr>
        <w:t>2 检验依据</w:t>
      </w:r>
    </w:p>
    <w:tbl>
      <w:tblPr>
        <w:tblStyle w:val="3"/>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4126"/>
        <w:gridCol w:w="4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b/>
                <w:bCs/>
                <w:color w:val="auto"/>
                <w:sz w:val="28"/>
                <w:szCs w:val="28"/>
                <w:highlight w:val="none"/>
              </w:rPr>
            </w:pPr>
            <w:r>
              <w:rPr>
                <w:rFonts w:hint="eastAsia" w:ascii="Times New Roman" w:hAnsi="Times New Roman" w:eastAsia="仿宋_GB2312" w:cs="仿宋_GB2312"/>
                <w:b/>
                <w:bCs/>
                <w:color w:val="auto"/>
                <w:sz w:val="28"/>
                <w:szCs w:val="28"/>
                <w:highlight w:val="none"/>
              </w:rPr>
              <w:t>序号</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b/>
                <w:bCs/>
                <w:color w:val="auto"/>
                <w:sz w:val="28"/>
                <w:szCs w:val="28"/>
                <w:highlight w:val="none"/>
              </w:rPr>
            </w:pPr>
            <w:r>
              <w:rPr>
                <w:rFonts w:hint="eastAsia" w:ascii="Times New Roman" w:hAnsi="Times New Roman" w:eastAsia="仿宋_GB2312" w:cs="仿宋_GB2312"/>
                <w:b/>
                <w:bCs/>
                <w:color w:val="auto"/>
                <w:sz w:val="28"/>
                <w:szCs w:val="28"/>
                <w:highlight w:val="none"/>
              </w:rPr>
              <w:t>检验项目</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b/>
                <w:bCs/>
                <w:color w:val="auto"/>
                <w:sz w:val="28"/>
                <w:szCs w:val="28"/>
                <w:highlight w:val="none"/>
              </w:rPr>
            </w:pPr>
            <w:r>
              <w:rPr>
                <w:rFonts w:hint="eastAsia" w:ascii="Times New Roman" w:hAnsi="Times New Roman" w:eastAsia="仿宋_GB2312" w:cs="仿宋_GB2312"/>
                <w:b/>
                <w:bCs/>
                <w:color w:val="auto"/>
                <w:sz w:val="28"/>
                <w:szCs w:val="28"/>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甲醛含量</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2</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pH值</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3</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可分解致癌芳香胺染料</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17592—2024</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4</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耐水色牢度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5713—2013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5</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耐酸汗渍色牢度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6</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耐碱汗渍色牢度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7</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耐干摩擦色牢度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8</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耐湿摩擦色牢度</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9</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纤维含量</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01057.1—2007</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01057.2—2007</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01057.3—2007</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01057.4—2007</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bookmarkStart w:id="0" w:name="_GoBack"/>
            <w:bookmarkEnd w:id="0"/>
            <w:r>
              <w:rPr>
                <w:rFonts w:hint="eastAsia" w:ascii="Times New Roman" w:hAnsi="Times New Roman" w:eastAsia="仿宋_GB2312" w:cs="仿宋_GB2312"/>
                <w:color w:val="auto"/>
                <w:sz w:val="28"/>
                <w:szCs w:val="28"/>
                <w:highlight w:val="none"/>
              </w:rPr>
              <w:t>GB/T 2910.1—2009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2910.2—2009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2910.3—2009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2910.4—2022</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2910.6—2009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2910.7—2009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2910.8—2009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2910.11—2009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8"/>
                <w:szCs w:val="28"/>
                <w:highlight w:val="none"/>
              </w:rPr>
              <w:t>GB/T 2910.11—20</w:t>
            </w:r>
            <w:r>
              <w:rPr>
                <w:rFonts w:hint="eastAsia" w:ascii="Times New Roman" w:hAnsi="Times New Roman" w:cs="仿宋_GB2312"/>
                <w:color w:val="auto"/>
                <w:sz w:val="28"/>
                <w:szCs w:val="28"/>
                <w:highlight w:val="none"/>
                <w:lang w:val="en-US" w:eastAsia="zh-CN"/>
              </w:rPr>
              <w:t>24</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2910.12—2023</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2910.18—2009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2910.20—2009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2910.22—2009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2910.101—2009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01101—2008</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01112—2012</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01026—2017</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FZ/T 30003—2009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8"/>
                <w:szCs w:val="28"/>
                <w:highlight w:val="none"/>
                <w:lang w:val="en-US" w:eastAsia="zh-CN"/>
              </w:rPr>
              <w:t>FZ/T 30003—2024</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16988—2013</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38015—2019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10</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绳带要求</w:t>
            </w:r>
            <w:r>
              <w:rPr>
                <w:rFonts w:hint="eastAsia" w:cs="仿宋_GB2312"/>
                <w:color w:val="auto"/>
                <w:sz w:val="28"/>
                <w:szCs w:val="28"/>
                <w:highlight w:val="none"/>
                <w:vertAlign w:val="superscript"/>
                <w:lang w:eastAsia="zh-CN"/>
              </w:rPr>
              <w:t>a</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 31701—2015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11</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附件锐利性</w:t>
            </w:r>
            <w:r>
              <w:rPr>
                <w:rFonts w:hint="eastAsia" w:cs="仿宋_GB2312"/>
                <w:color w:val="auto"/>
                <w:sz w:val="28"/>
                <w:szCs w:val="28"/>
                <w:highlight w:val="none"/>
                <w:vertAlign w:val="superscript"/>
                <w:lang w:eastAsia="zh-CN"/>
              </w:rPr>
              <w:t>a</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GB/T 31702—2015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12</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金属针</w:t>
            </w:r>
            <w:r>
              <w:rPr>
                <w:rFonts w:hint="eastAsia" w:cs="仿宋_GB2312"/>
                <w:color w:val="auto"/>
                <w:sz w:val="28"/>
                <w:szCs w:val="28"/>
                <w:highlight w:val="none"/>
                <w:vertAlign w:val="superscript"/>
                <w:lang w:eastAsia="zh-CN"/>
              </w:rPr>
              <w:t>a</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 xml:space="preserve">GB 31701—2015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13</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絮用纤维原料要求</w:t>
            </w:r>
            <w:r>
              <w:rPr>
                <w:rFonts w:hint="eastAsia" w:cs="仿宋_GB2312"/>
                <w:color w:val="auto"/>
                <w:sz w:val="28"/>
                <w:szCs w:val="28"/>
                <w:highlight w:val="none"/>
                <w:lang w:val="en-US" w:eastAsia="zh-CN"/>
              </w:rPr>
              <w:t>/生活用絮用纤维制品技术要求</w:t>
            </w:r>
            <w:r>
              <w:rPr>
                <w:rFonts w:hint="eastAsia" w:cs="仿宋_GB2312"/>
                <w:color w:val="auto"/>
                <w:sz w:val="28"/>
                <w:szCs w:val="28"/>
                <w:highlight w:val="none"/>
                <w:vertAlign w:val="superscript"/>
                <w:lang w:val="en-US" w:eastAsia="zh-CN"/>
              </w:rPr>
              <w:t>b</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s="仿宋_GB2312"/>
                <w:color w:val="auto"/>
                <w:sz w:val="28"/>
                <w:szCs w:val="28"/>
                <w:highlight w:val="none"/>
              </w:rPr>
            </w:pPr>
            <w:r>
              <w:rPr>
                <w:rFonts w:hint="eastAsia" w:cs="仿宋_GB2312"/>
                <w:color w:val="auto"/>
                <w:sz w:val="28"/>
                <w:szCs w:val="28"/>
                <w:highlight w:val="none"/>
              </w:rPr>
              <w:t>GB 18383—2007</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s="仿宋_GB2312"/>
                <w:color w:val="auto"/>
                <w:sz w:val="28"/>
                <w:szCs w:val="28"/>
                <w:highlight w:val="none"/>
              </w:rPr>
            </w:pPr>
            <w:r>
              <w:rPr>
                <w:rFonts w:hint="eastAsia" w:cs="仿宋_GB2312"/>
                <w:color w:val="auto"/>
                <w:sz w:val="28"/>
                <w:szCs w:val="28"/>
                <w:highlight w:val="none"/>
              </w:rPr>
              <w:t>GB 18383—2025</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jc w:val="center"/>
              <w:textAlignment w:val="auto"/>
              <w:rPr>
                <w:rFonts w:hint="eastAsia" w:ascii="Times New Roman" w:hAnsi="Times New Roman" w:eastAsia="仿宋_GB2312" w:cs="仿宋_GB2312"/>
                <w:color w:val="auto"/>
                <w:sz w:val="28"/>
                <w:szCs w:val="28"/>
                <w:highlight w:val="none"/>
                <w:lang w:val="en-US" w:eastAsia="zh-CN"/>
              </w:rPr>
            </w:pPr>
            <w:r>
              <w:rPr>
                <w:rFonts w:hint="eastAsia" w:cs="仿宋_GB2312"/>
                <w:color w:val="auto"/>
                <w:sz w:val="28"/>
                <w:szCs w:val="28"/>
                <w:highlight w:val="none"/>
              </w:rPr>
              <w:t>GB/T 43811—2024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仿宋_GB2312" w:cs="仿宋_GB2312"/>
                <w:color w:val="auto"/>
                <w:sz w:val="28"/>
                <w:szCs w:val="28"/>
                <w:highlight w:val="none"/>
                <w:lang w:val="en-US" w:eastAsia="zh-CN"/>
              </w:rPr>
            </w:pPr>
            <w:r>
              <w:rPr>
                <w:rFonts w:hint="eastAsia" w:ascii="Times New Roman" w:hAnsi="Times New Roman" w:cs="仿宋_GB2312"/>
                <w:color w:val="auto"/>
                <w:sz w:val="28"/>
                <w:szCs w:val="28"/>
                <w:highlight w:val="none"/>
                <w:lang w:val="en-US" w:eastAsia="zh-CN"/>
              </w:rPr>
              <w:t>1</w:t>
            </w:r>
            <w:r>
              <w:rPr>
                <w:rFonts w:hint="eastAsia" w:cs="仿宋_GB2312"/>
                <w:color w:val="auto"/>
                <w:sz w:val="28"/>
                <w:szCs w:val="28"/>
                <w:highlight w:val="none"/>
                <w:lang w:val="en-US" w:eastAsia="zh-CN"/>
              </w:rPr>
              <w:t>4</w:t>
            </w:r>
          </w:p>
        </w:tc>
        <w:tc>
          <w:tcPr>
            <w:tcW w:w="4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产品使用说明（标识）</w:t>
            </w:r>
          </w:p>
        </w:tc>
        <w:tc>
          <w:tcPr>
            <w:tcW w:w="40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color w:val="auto"/>
              </w:rPr>
            </w:pPr>
            <w:r>
              <w:rPr>
                <w:rFonts w:hint="eastAsia"/>
                <w:color w:val="auto"/>
              </w:rPr>
              <w:t>GB/T 5296.4</w:t>
            </w:r>
            <w:r>
              <w:rPr>
                <w:rFonts w:hint="eastAsia" w:ascii="Times New Roman" w:hAnsi="Times New Roman" w:eastAsia="仿宋_GB2312" w:cs="Times New Roman"/>
                <w:color w:val="auto"/>
                <w:sz w:val="32"/>
                <w:szCs w:val="24"/>
                <w:lang w:val="en-US" w:eastAsia="zh-CN"/>
              </w:rPr>
              <w:t>—</w:t>
            </w:r>
            <w:r>
              <w:rPr>
                <w:rFonts w:hint="eastAsia"/>
                <w:color w:val="auto"/>
              </w:rPr>
              <w:t>2012</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 18401—2010</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jc w:val="center"/>
              <w:textAlignment w:val="auto"/>
              <w:rPr>
                <w:rFonts w:hint="eastAsia" w:ascii="Times New Roman" w:hAnsi="Times New Roman" w:eastAsia="仿宋_GB2312" w:cs="Times New Roman"/>
                <w:color w:val="auto"/>
                <w:sz w:val="32"/>
                <w:szCs w:val="24"/>
                <w:lang w:val="en-US" w:eastAsia="zh-CN"/>
              </w:rPr>
            </w:pPr>
            <w:r>
              <w:rPr>
                <w:rFonts w:hint="eastAsia" w:ascii="Times New Roman" w:hAnsi="Times New Roman" w:eastAsia="仿宋_GB2312" w:cs="Times New Roman"/>
                <w:color w:val="auto"/>
                <w:sz w:val="32"/>
                <w:szCs w:val="24"/>
                <w:lang w:val="en-US" w:eastAsia="zh-CN"/>
              </w:rPr>
              <w:t>GB 31701—2015</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jc w:val="center"/>
              <w:textAlignment w:val="auto"/>
              <w:rPr>
                <w:rFonts w:hint="eastAsia" w:ascii="Times New Roman" w:hAnsi="Times New Roman" w:eastAsia="仿宋_GB2312" w:cs="仿宋_GB2312"/>
                <w:color w:val="auto"/>
                <w:sz w:val="28"/>
                <w:szCs w:val="28"/>
                <w:highlight w:val="none"/>
              </w:rPr>
            </w:pPr>
            <w:r>
              <w:rPr>
                <w:rFonts w:hint="eastAsia" w:cs="Times New Roman"/>
                <w:color w:val="auto"/>
                <w:sz w:val="32"/>
                <w:szCs w:val="24"/>
                <w:lang w:val="en-US" w:eastAsia="zh-CN"/>
              </w:rPr>
              <w:t>相应产品标准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7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注：</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jc w:val="left"/>
              <w:textAlignment w:val="auto"/>
              <w:rPr>
                <w:rFonts w:hint="eastAsia" w:cs="仿宋_GB2312"/>
                <w:color w:val="auto"/>
                <w:sz w:val="28"/>
                <w:szCs w:val="28"/>
                <w:highlight w:val="none"/>
                <w:lang w:val="en-US" w:eastAsia="zh-CN"/>
              </w:rPr>
            </w:pPr>
            <w:r>
              <w:rPr>
                <w:rFonts w:hint="eastAsia" w:ascii="Times New Roman" w:hAnsi="Times New Roman" w:eastAsia="仿宋_GB2312" w:cs="仿宋_GB2312"/>
                <w:color w:val="auto"/>
                <w:sz w:val="28"/>
                <w:szCs w:val="28"/>
                <w:highlight w:val="none"/>
                <w:vertAlign w:val="superscript"/>
              </w:rPr>
              <w:t>a</w:t>
            </w:r>
            <w:r>
              <w:rPr>
                <w:rFonts w:hint="eastAsia" w:cs="仿宋_GB2312"/>
                <w:color w:val="auto"/>
                <w:sz w:val="28"/>
                <w:szCs w:val="28"/>
                <w:highlight w:val="none"/>
                <w:lang w:val="en-US" w:eastAsia="zh-CN"/>
              </w:rPr>
              <w:t>儿童及婴幼儿产品按对应的安全技术类别指标检验此项目。</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jc w:val="left"/>
              <w:textAlignment w:val="auto"/>
              <w:rPr>
                <w:rFonts w:hint="eastAsia" w:ascii="Times New Roman" w:hAnsi="Times New Roman" w:eastAsia="仿宋_GB2312" w:cs="仿宋_GB2312"/>
                <w:color w:val="auto"/>
                <w:sz w:val="28"/>
                <w:szCs w:val="28"/>
                <w:highlight w:val="none"/>
              </w:rPr>
            </w:pPr>
            <w:r>
              <w:rPr>
                <w:rFonts w:hint="eastAsia" w:cs="仿宋_GB2312"/>
                <w:color w:val="auto"/>
                <w:sz w:val="28"/>
                <w:szCs w:val="28"/>
                <w:highlight w:val="none"/>
                <w:vertAlign w:val="superscript"/>
                <w:lang w:val="en-US" w:eastAsia="zh-CN"/>
              </w:rPr>
              <w:t>b</w:t>
            </w:r>
            <w:r>
              <w:rPr>
                <w:rFonts w:hint="eastAsia" w:ascii="Times New Roman" w:hAnsi="Times New Roman" w:eastAsia="仿宋_GB2312" w:cs="仿宋_GB2312"/>
                <w:color w:val="auto"/>
                <w:sz w:val="28"/>
                <w:szCs w:val="28"/>
                <w:highlight w:val="none"/>
                <w:lang w:val="en-US" w:eastAsia="zh-CN"/>
              </w:rPr>
              <w:t>适用GB 18383—2007的产品考核GB 18383—2007 4.1.4、4.1.5、4.1.6；适用GB 18383—2025的产品考核GB 18383—2025 4.3.1、4.3.2、4.3.3。</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 xml:space="preserve">3 </w:t>
      </w:r>
      <w:r>
        <w:rPr>
          <w:rFonts w:ascii="Times New Roman" w:hAnsi="Times New Roman" w:eastAsia="黑体" w:cs="Times New Roman"/>
          <w:color w:val="auto"/>
          <w:sz w:val="32"/>
          <w:szCs w:val="32"/>
          <w:highlight w:val="none"/>
        </w:rPr>
        <w:t>判定规则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3.1</w:t>
      </w:r>
      <w:r>
        <w:rPr>
          <w:rFonts w:hint="eastAsia" w:ascii="Times New Roman" w:hAnsi="Times New Roman" w:eastAsia="楷体_GB2312" w:cs="楷体_GB2312"/>
          <w:color w:val="auto"/>
          <w:sz w:val="32"/>
          <w:szCs w:val="40"/>
          <w:highlight w:val="none"/>
          <w:lang w:val="en-US" w:eastAsia="zh-CN"/>
        </w:rPr>
        <w:t xml:space="preserve"> </w:t>
      </w:r>
      <w:r>
        <w:rPr>
          <w:rFonts w:hint="eastAsia" w:ascii="Times New Roman" w:hAnsi="Times New Roman" w:eastAsia="楷体_GB2312" w:cs="楷体_GB2312"/>
          <w:color w:val="auto"/>
          <w:sz w:val="32"/>
          <w:szCs w:val="40"/>
          <w:highlight w:val="none"/>
        </w:rPr>
        <w:t>依据标准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 18401—2010</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国家纺织产品基本安全技术规范</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 31701—2015</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婴幼儿及儿童纺织产品安全技术规范</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5296.4—2012消费品使用说明 第4部分：纺织品和服装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lang w:val="en-US" w:eastAsia="zh-CN"/>
        </w:rPr>
      </w:pPr>
      <w:r>
        <w:rPr>
          <w:rFonts w:hint="eastAsia" w:ascii="Times New Roman" w:hAnsi="Times New Roman" w:eastAsia="仿宋_GB2312" w:cs="仿宋_GB2312"/>
          <w:color w:val="auto"/>
          <w:sz w:val="32"/>
          <w:szCs w:val="40"/>
          <w:highlight w:val="none"/>
        </w:rPr>
        <w:t>GB 18383—2025</w:t>
      </w:r>
      <w:r>
        <w:rPr>
          <w:rFonts w:hint="eastAsia" w:cs="仿宋_GB2312"/>
          <w:color w:val="auto"/>
          <w:sz w:val="32"/>
          <w:szCs w:val="40"/>
          <w:highlight w:val="none"/>
          <w:lang w:eastAsia="zh-CN"/>
        </w:rPr>
        <w:t>《</w:t>
      </w:r>
      <w:r>
        <w:rPr>
          <w:rFonts w:hint="eastAsia" w:ascii="Times New Roman" w:hAnsi="Times New Roman" w:cs="仿宋_GB2312"/>
          <w:color w:val="auto"/>
          <w:sz w:val="32"/>
          <w:szCs w:val="40"/>
          <w:highlight w:val="none"/>
          <w:lang w:val="en-US" w:eastAsia="zh-CN"/>
        </w:rPr>
        <w:t>絮用纤维制品通用技术要求</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 18383—2007</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絮用纤维制品通用技术要求</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22854—2009</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针织学生服</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23328—2009</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机织学生服</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29862—2013</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纺织品 纤维含量的标识</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GB/T 31888—2015</w:t>
      </w:r>
      <w:r>
        <w:rPr>
          <w:rFonts w:hint="eastAsia" w:cs="仿宋_GB2312"/>
          <w:color w:val="auto"/>
          <w:sz w:val="32"/>
          <w:szCs w:val="40"/>
          <w:highlight w:val="none"/>
          <w:lang w:eastAsia="zh-CN"/>
        </w:rPr>
        <w:t>《</w:t>
      </w:r>
      <w:r>
        <w:rPr>
          <w:rFonts w:hint="eastAsia" w:ascii="Times New Roman" w:hAnsi="Times New Roman" w:eastAsia="仿宋_GB2312" w:cs="仿宋_GB2312"/>
          <w:color w:val="auto"/>
          <w:sz w:val="32"/>
          <w:szCs w:val="40"/>
          <w:highlight w:val="none"/>
        </w:rPr>
        <w:t>中小学生校服</w:t>
      </w:r>
      <w:r>
        <w:rPr>
          <w:rFonts w:hint="eastAsia"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3.2</w:t>
      </w:r>
      <w:r>
        <w:rPr>
          <w:rFonts w:hint="eastAsia" w:ascii="Times New Roman" w:hAnsi="Times New Roman" w:eastAsia="楷体_GB2312" w:cs="楷体_GB2312"/>
          <w:color w:val="auto"/>
          <w:sz w:val="32"/>
          <w:szCs w:val="40"/>
          <w:highlight w:val="none"/>
          <w:lang w:val="en-US" w:eastAsia="zh-CN"/>
        </w:rPr>
        <w:t xml:space="preserve"> </w:t>
      </w:r>
      <w:r>
        <w:rPr>
          <w:rFonts w:hint="eastAsia" w:ascii="Times New Roman" w:hAnsi="Times New Roman" w:eastAsia="楷体_GB2312" w:cs="楷体_GB2312"/>
          <w:color w:val="auto"/>
          <w:sz w:val="32"/>
          <w:szCs w:val="40"/>
          <w:highlight w:val="none"/>
        </w:rPr>
        <w:t>判定原则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仿宋_GB2312"/>
          <w:color w:val="auto"/>
          <w:sz w:val="32"/>
          <w:szCs w:val="40"/>
          <w:highlight w:val="none"/>
        </w:rPr>
      </w:pPr>
      <w:r>
        <w:rPr>
          <w:rFonts w:hint="eastAsia" w:ascii="Times New Roman" w:hAnsi="Times New Roman" w:eastAsia="仿宋_GB2312" w:cs="仿宋_GB2312"/>
          <w:color w:val="auto"/>
          <w:sz w:val="32"/>
          <w:szCs w:val="40"/>
          <w:highlight w:val="none"/>
        </w:rPr>
        <w:t>若被检产品明示的质量要求缺少本细则中检验项目依据的强制性标准要求时，应按照强制性标准要求判定。</w:t>
      </w:r>
    </w:p>
    <w:p>
      <w:r>
        <w:rPr>
          <w:rFonts w:hint="eastAsia" w:ascii="Times New Roman" w:hAnsi="Times New Roman" w:eastAsia="仿宋_GB2312" w:cs="仿宋_GB2312"/>
          <w:color w:val="auto"/>
          <w:sz w:val="32"/>
          <w:szCs w:val="40"/>
          <w:highlight w:val="none"/>
        </w:rPr>
        <w:t>若被检产品明示的质量要求缺少本细则中检验项目依据的推荐性标准要求时，该项目不参与判定。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5F475A"/>
    <w:rsid w:val="04117AC6"/>
    <w:rsid w:val="15674043"/>
    <w:rsid w:val="295F475A"/>
    <w:rsid w:val="343F61D3"/>
    <w:rsid w:val="41F96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1113</Words>
  <Characters>1718</Characters>
  <Lines>0</Lines>
  <Paragraphs>0</Paragraphs>
  <TotalTime>1</TotalTime>
  <ScaleCrop>false</ScaleCrop>
  <LinksUpToDate>false</LinksUpToDate>
  <CharactersWithSpaces>1785</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2026-07-31T09:20:00Z</dcterms:created>
  <dc:creator>chalin</dc:creator>
  <cp:lastModifiedBy>chalin</cp:lastModifiedBy>
  <dcterms:modified xsi:type="dcterms:W3CDTF">2026-08-10T07:10:24Z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6FF473DF4D474F67A08EC0C65D78845F</vt:lpwstr>
  </property>
  <property fmtid="{D5CDD505-2E9C-101B-9397-08002B2CF9AE}" pid="4" name="KSOTemplateDocerSaveRecord">
    <vt:lpwstr>eyJoZGlkIjoiZDFmMWQ0YWVjN2Y1NGNmZjE3N2YwYzE1OTk1NzQzYTUiLCJ1c2VySWQiOiI0MzYzODQ0NDYifQ==</vt:lpwstr>
  </property>
</Properties>
</file>