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黑体" w:eastAsia="方正小标宋_GBK"/>
          <w:sz w:val="44"/>
          <w:szCs w:val="44"/>
        </w:rPr>
      </w:pPr>
      <w:bookmarkStart w:id="1" w:name="_GoBack"/>
      <w:bookmarkEnd w:id="1"/>
      <w:bookmarkStart w:id="0" w:name="正文"/>
      <w:r>
        <w:rPr>
          <w:rFonts w:hint="eastAsia" w:ascii="方正小标宋_GBK" w:hAnsi="黑体" w:eastAsia="方正小标宋_GBK"/>
          <w:sz w:val="44"/>
          <w:szCs w:val="44"/>
        </w:rPr>
        <w:t>关于</w:t>
      </w:r>
      <w:r>
        <w:rPr>
          <w:rFonts w:hint="eastAsia" w:ascii="方正小标宋_GBK" w:hAnsi="黑体" w:eastAsia="方正小标宋_GBK"/>
          <w:sz w:val="44"/>
          <w:szCs w:val="44"/>
          <w:lang w:eastAsia="zh-CN"/>
        </w:rPr>
        <w:t>县城</w:t>
      </w:r>
      <w:r>
        <w:rPr>
          <w:rFonts w:hint="eastAsia" w:ascii="方正小标宋_GBK" w:hAnsi="黑体" w:eastAsia="方正小标宋_GBK"/>
          <w:sz w:val="44"/>
          <w:szCs w:val="44"/>
        </w:rPr>
        <w:t>禁止燃放烟花爆竹的通告</w:t>
      </w:r>
    </w:p>
    <w:p>
      <w:pPr>
        <w:pStyle w:val="9"/>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黑体" w:eastAsia="方正小标宋_GBK"/>
          <w:sz w:val="44"/>
          <w:szCs w:val="44"/>
        </w:rPr>
      </w:pPr>
      <w:r>
        <w:rPr>
          <w:rFonts w:hint="eastAsia" w:ascii="黑体" w:hAnsi="黑体" w:eastAsia="黑体" w:cs="黑体"/>
          <w:sz w:val="44"/>
          <w:szCs w:val="44"/>
          <w:lang w:val="en-US" w:eastAsia="zh-CN"/>
        </w:rPr>
        <w:t>（征求意见稿）</w:t>
      </w:r>
    </w:p>
    <w:p>
      <w:pPr>
        <w:pStyle w:val="9"/>
        <w:spacing w:line="610" w:lineRule="exact"/>
        <w:rPr>
          <w:rFonts w:hint="eastAsia" w:ascii="仿宋_GB2312" w:eastAsia="仿宋_GB2312"/>
        </w:rPr>
      </w:pP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为进一步改善环境空气质量，强化烟花爆竹燃放的安全管理，切实保障人民群众生命财产安全，根据《中华人民共和国</w:t>
      </w:r>
      <w:r>
        <w:rPr>
          <w:rFonts w:hint="eastAsia" w:ascii="仿宋_GB2312" w:hAnsi="仿宋" w:eastAsia="仿宋_GB2312" w:cs="仿宋_GB2312"/>
          <w:sz w:val="32"/>
          <w:szCs w:val="32"/>
          <w:lang w:eastAsia="zh-CN"/>
        </w:rPr>
        <w:t>生态环境法典</w:t>
      </w:r>
      <w:r>
        <w:rPr>
          <w:rFonts w:hint="eastAsia" w:ascii="仿宋_GB2312" w:hAnsi="仿宋" w:eastAsia="仿宋_GB2312" w:cs="仿宋_GB2312"/>
          <w:sz w:val="32"/>
          <w:szCs w:val="32"/>
        </w:rPr>
        <w:t>》、《中华人民共和国治安管理处罚法》和国务院《烟花爆竹安全管理条例》等有关法律法规，现就</w:t>
      </w:r>
      <w:r>
        <w:rPr>
          <w:rFonts w:hint="eastAsia" w:ascii="仿宋_GB2312" w:hAnsi="仿宋" w:eastAsia="仿宋_GB2312" w:cs="仿宋_GB2312"/>
          <w:sz w:val="32"/>
          <w:szCs w:val="32"/>
          <w:lang w:eastAsia="zh-CN"/>
        </w:rPr>
        <w:t>县城禁止燃放烟花爆竹</w:t>
      </w:r>
      <w:r>
        <w:rPr>
          <w:rFonts w:hint="eastAsia" w:ascii="仿宋_GB2312" w:hAnsi="仿宋" w:eastAsia="仿宋_GB2312" w:cs="仿宋_GB2312"/>
          <w:sz w:val="32"/>
          <w:szCs w:val="32"/>
        </w:rPr>
        <w:t>有关事项通告如下：</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一、</w:t>
      </w:r>
      <w:r>
        <w:rPr>
          <w:rFonts w:hint="eastAsia" w:ascii="仿宋_GB2312" w:hAnsi="仿宋" w:eastAsia="仿宋_GB2312" w:cs="仿宋_GB2312"/>
          <w:sz w:val="32"/>
          <w:szCs w:val="32"/>
          <w:lang w:eastAsia="zh-CN"/>
        </w:rPr>
        <w:t>县城以下区域划定为</w:t>
      </w:r>
      <w:r>
        <w:rPr>
          <w:rFonts w:hint="eastAsia" w:ascii="仿宋_GB2312" w:hAnsi="仿宋" w:eastAsia="仿宋_GB2312" w:cs="仿宋_GB2312"/>
          <w:sz w:val="32"/>
          <w:szCs w:val="32"/>
        </w:rPr>
        <w:t>烟花爆竹</w:t>
      </w:r>
      <w:r>
        <w:rPr>
          <w:rFonts w:hint="eastAsia" w:ascii="仿宋_GB2312" w:hAnsi="仿宋" w:eastAsia="仿宋_GB2312" w:cs="仿宋_GB2312"/>
          <w:sz w:val="32"/>
          <w:szCs w:val="32"/>
          <w:lang w:eastAsia="zh-CN"/>
        </w:rPr>
        <w:t>禁燃</w:t>
      </w:r>
      <w:r>
        <w:rPr>
          <w:rFonts w:hint="eastAsia" w:ascii="仿宋_GB2312" w:hAnsi="仿宋" w:eastAsia="仿宋_GB2312" w:cs="仿宋_GB2312"/>
          <w:sz w:val="32"/>
          <w:szCs w:val="32"/>
        </w:rPr>
        <w:t>区（以下简称“禁燃区”）</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sz w:val="32"/>
          <w:szCs w:val="32"/>
          <w:lang w:val="en-US" w:eastAsia="zh-CN"/>
        </w:rPr>
      </w:pPr>
      <w:r>
        <w:rPr>
          <w:rFonts w:hint="default" w:ascii="仿宋_GB2312" w:hAnsi="仿宋" w:eastAsia="仿宋_GB2312" w:cs="仿宋_GB2312"/>
          <w:sz w:val="32"/>
          <w:szCs w:val="32"/>
          <w:lang w:val="en-US" w:eastAsia="zh-CN"/>
        </w:rPr>
        <w:t>北边分界线：花溪大桥—S525线环城路段—仙水农庄—S250线烈士陵园至仙水农庄段—北山古寺；</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sz w:val="32"/>
          <w:szCs w:val="32"/>
          <w:lang w:val="en-US" w:eastAsia="zh-CN"/>
        </w:rPr>
      </w:pPr>
      <w:r>
        <w:rPr>
          <w:rFonts w:hint="default" w:ascii="仿宋_GB2312" w:hAnsi="仿宋" w:eastAsia="仿宋_GB2312" w:cs="仿宋_GB2312"/>
          <w:sz w:val="32"/>
          <w:szCs w:val="32"/>
          <w:lang w:val="en-US" w:eastAsia="zh-CN"/>
        </w:rPr>
        <w:t>东边分界线：北山古寺—移民新村东北侧—颐珑湾</w:t>
      </w:r>
      <w:r>
        <w:rPr>
          <w:rFonts w:hint="eastAsia" w:ascii="仿宋_GB2312" w:hAnsi="仿宋" w:eastAsia="仿宋_GB2312" w:cs="仿宋_GB2312"/>
          <w:sz w:val="32"/>
          <w:szCs w:val="32"/>
          <w:lang w:val="en-US" w:eastAsia="zh-CN"/>
        </w:rPr>
        <w:t>后</w:t>
      </w:r>
      <w:r>
        <w:rPr>
          <w:rFonts w:hint="default" w:ascii="仿宋_GB2312" w:hAnsi="仿宋" w:eastAsia="仿宋_GB2312" w:cs="仿宋_GB2312"/>
          <w:sz w:val="32"/>
          <w:szCs w:val="32"/>
          <w:lang w:val="en-US" w:eastAsia="zh-CN"/>
        </w:rPr>
        <w:t>山边沿线—文塔山边沿线—</w:t>
      </w:r>
      <w:r>
        <w:rPr>
          <w:rFonts w:hint="eastAsia" w:ascii="仿宋_GB2312" w:hAnsi="仿宋" w:eastAsia="仿宋_GB2312" w:cs="仿宋_GB2312"/>
          <w:sz w:val="32"/>
          <w:szCs w:val="32"/>
          <w:lang w:val="en-US" w:eastAsia="zh-CN"/>
        </w:rPr>
        <w:t>暗浪陂村委会后山边沿线</w:t>
      </w:r>
      <w:r>
        <w:rPr>
          <w:rFonts w:hint="default" w:ascii="仿宋_GB2312" w:hAnsi="仿宋" w:eastAsia="仿宋_GB2312" w:cs="仿宋_GB2312"/>
          <w:sz w:val="32"/>
          <w:szCs w:val="32"/>
          <w:lang w:val="en-US" w:eastAsia="zh-CN"/>
        </w:rPr>
        <w:t>；</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sz w:val="32"/>
          <w:szCs w:val="32"/>
          <w:lang w:val="en-US" w:eastAsia="zh-CN"/>
        </w:rPr>
      </w:pPr>
      <w:r>
        <w:rPr>
          <w:rFonts w:hint="default" w:ascii="仿宋_GB2312" w:hAnsi="仿宋" w:eastAsia="仿宋_GB2312" w:cs="仿宋_GB2312"/>
          <w:sz w:val="32"/>
          <w:szCs w:val="32"/>
          <w:lang w:val="en-US" w:eastAsia="zh-CN"/>
        </w:rPr>
        <w:t>南边分界线：</w:t>
      </w:r>
      <w:r>
        <w:rPr>
          <w:rFonts w:hint="eastAsia" w:ascii="仿宋_GB2312" w:hAnsi="仿宋" w:eastAsia="仿宋_GB2312" w:cs="仿宋_GB2312"/>
          <w:sz w:val="32"/>
          <w:szCs w:val="32"/>
          <w:lang w:val="en-US" w:eastAsia="zh-CN"/>
        </w:rPr>
        <w:t>暗浪陂村委会后山边沿线</w:t>
      </w:r>
      <w:r>
        <w:rPr>
          <w:rFonts w:hint="default" w:ascii="仿宋_GB2312" w:hAnsi="仿宋" w:eastAsia="仿宋_GB2312" w:cs="仿宋_GB2312"/>
          <w:sz w:val="32"/>
          <w:szCs w:val="32"/>
          <w:lang w:val="en-US" w:eastAsia="zh-CN"/>
        </w:rPr>
        <w:t>—</w:t>
      </w:r>
      <w:r>
        <w:rPr>
          <w:rFonts w:hint="eastAsia" w:ascii="仿宋_GB2312" w:hAnsi="仿宋" w:eastAsia="仿宋_GB2312" w:cs="仿宋_GB2312"/>
          <w:sz w:val="32"/>
          <w:szCs w:val="32"/>
          <w:lang w:val="en-US" w:eastAsia="zh-CN"/>
        </w:rPr>
        <w:t>韩愈大桥</w:t>
      </w:r>
      <w:r>
        <w:rPr>
          <w:rFonts w:hint="default" w:ascii="仿宋_GB2312" w:hAnsi="仿宋" w:eastAsia="仿宋_GB2312" w:cs="仿宋_GB2312"/>
          <w:sz w:val="32"/>
          <w:szCs w:val="32"/>
          <w:lang w:val="en-US" w:eastAsia="zh-CN"/>
        </w:rPr>
        <w:t>—</w:t>
      </w:r>
      <w:r>
        <w:rPr>
          <w:rFonts w:hint="eastAsia" w:ascii="仿宋_GB2312" w:hAnsi="仿宋" w:eastAsia="仿宋_GB2312" w:cs="仿宋_GB2312"/>
          <w:sz w:val="32"/>
          <w:szCs w:val="32"/>
          <w:lang w:val="en-US" w:eastAsia="zh-CN"/>
        </w:rPr>
        <w:t>韩愈南路</w:t>
      </w:r>
      <w:r>
        <w:rPr>
          <w:rFonts w:hint="default" w:ascii="仿宋_GB2312" w:hAnsi="仿宋" w:eastAsia="仿宋_GB2312" w:cs="仿宋_GB2312"/>
          <w:sz w:val="32"/>
          <w:szCs w:val="32"/>
          <w:lang w:val="en-US" w:eastAsia="zh-CN"/>
        </w:rPr>
        <w:t>—</w:t>
      </w:r>
      <w:r>
        <w:rPr>
          <w:rFonts w:hint="eastAsia" w:ascii="仿宋_GB2312" w:hAnsi="仿宋" w:eastAsia="仿宋_GB2312" w:cs="仿宋_GB2312"/>
          <w:sz w:val="32"/>
          <w:szCs w:val="32"/>
          <w:lang w:val="en-US" w:eastAsia="zh-CN"/>
        </w:rPr>
        <w:t>许广高速</w:t>
      </w:r>
      <w:r>
        <w:rPr>
          <w:rFonts w:hint="default" w:ascii="仿宋_GB2312" w:hAnsi="仿宋" w:eastAsia="仿宋_GB2312" w:cs="仿宋_GB2312"/>
          <w:sz w:val="32"/>
          <w:szCs w:val="32"/>
          <w:lang w:val="en-US" w:eastAsia="zh-CN"/>
        </w:rPr>
        <w:t>；</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sz w:val="32"/>
          <w:szCs w:val="32"/>
          <w:lang w:val="en-US" w:eastAsia="zh-CN"/>
        </w:rPr>
      </w:pPr>
      <w:r>
        <w:rPr>
          <w:rFonts w:hint="default" w:ascii="仿宋_GB2312" w:hAnsi="仿宋" w:eastAsia="仿宋_GB2312" w:cs="仿宋_GB2312"/>
          <w:sz w:val="32"/>
          <w:szCs w:val="32"/>
          <w:lang w:val="en-US" w:eastAsia="zh-CN"/>
        </w:rPr>
        <w:t>西边分界线：许广高速—</w:t>
      </w:r>
      <w:r>
        <w:rPr>
          <w:rFonts w:hint="eastAsia" w:ascii="仿宋_GB2312" w:hAnsi="仿宋" w:eastAsia="仿宋_GB2312" w:cs="仿宋_GB2312"/>
          <w:sz w:val="32"/>
          <w:szCs w:val="32"/>
          <w:lang w:val="en-US" w:eastAsia="zh-CN"/>
        </w:rPr>
        <w:t>麦冲村委会</w:t>
      </w:r>
      <w:r>
        <w:rPr>
          <w:rFonts w:hint="default" w:ascii="仿宋_GB2312" w:hAnsi="仿宋" w:eastAsia="仿宋_GB2312" w:cs="仿宋_GB2312"/>
          <w:sz w:val="32"/>
          <w:szCs w:val="32"/>
          <w:lang w:val="en-US" w:eastAsia="zh-CN"/>
        </w:rPr>
        <w:t>—</w:t>
      </w:r>
      <w:r>
        <w:rPr>
          <w:rFonts w:hint="eastAsia" w:ascii="仿宋_GB2312" w:hAnsi="仿宋" w:eastAsia="仿宋_GB2312" w:cs="仿宋_GB2312"/>
          <w:sz w:val="32"/>
          <w:szCs w:val="32"/>
          <w:lang w:val="en-US" w:eastAsia="zh-CN"/>
        </w:rPr>
        <w:t>荣璟鞋厂西北侧</w:t>
      </w:r>
      <w:r>
        <w:rPr>
          <w:rFonts w:hint="default" w:ascii="仿宋_GB2312" w:hAnsi="仿宋" w:eastAsia="仿宋_GB2312" w:cs="仿宋_GB2312"/>
          <w:sz w:val="32"/>
          <w:szCs w:val="32"/>
          <w:lang w:val="en-US" w:eastAsia="zh-CN"/>
        </w:rPr>
        <w:t>—花溪大桥。</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 w:eastAsia="仿宋_GB2312" w:cs="仿宋_GB2312"/>
          <w:sz w:val="32"/>
          <w:szCs w:val="32"/>
          <w:lang w:val="en-US" w:eastAsia="zh-CN"/>
        </w:rPr>
      </w:pPr>
      <w:r>
        <w:rPr>
          <w:rFonts w:hint="default" w:ascii="仿宋_GB2312" w:hAnsi="仿宋" w:eastAsia="仿宋_GB2312" w:cs="仿宋_GB2312"/>
          <w:sz w:val="32"/>
          <w:szCs w:val="32"/>
          <w:lang w:val="en-US" w:eastAsia="zh-CN"/>
        </w:rPr>
        <w:t>以上所述区域形成完整闭环。</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二、本通告所称烟花爆竹，是指烟花爆竹制品和用于生产烟花爆竹的民用黑火药、烟火药、引火线等物品。</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三、自通告实施之日起，任何单位和个人不得在禁燃区范围内燃放烟花爆竹。</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四、公安部门负责禁止燃放烟花爆竹的监督管理工作，不再予以审批任何形式和规模的烟花燃放活动。</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五、应急管理、市场监督管理、生态环境、气象、教育、民政、交通运输</w:t>
      </w:r>
      <w:r>
        <w:rPr>
          <w:rFonts w:hint="eastAsia" w:ascii="仿宋_GB2312" w:hAnsi="仿宋" w:eastAsia="仿宋_GB2312" w:cs="仿宋_GB2312"/>
          <w:sz w:val="32"/>
          <w:szCs w:val="32"/>
          <w:lang w:eastAsia="zh-CN"/>
        </w:rPr>
        <w:t>、住房建设</w:t>
      </w:r>
      <w:r>
        <w:rPr>
          <w:rFonts w:hint="eastAsia" w:ascii="仿宋_GB2312" w:hAnsi="仿宋" w:eastAsia="仿宋_GB2312" w:cs="仿宋_GB2312"/>
          <w:sz w:val="32"/>
          <w:szCs w:val="32"/>
        </w:rPr>
        <w:t>等部门按照相关职责做好禁止燃放烟花爆竹、防治大气污染的相关工作。</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六、</w:t>
      </w:r>
      <w:r>
        <w:rPr>
          <w:rFonts w:hint="eastAsia" w:ascii="仿宋_GB2312" w:hAnsi="仿宋" w:eastAsia="仿宋_GB2312" w:cs="仿宋_GB2312"/>
          <w:sz w:val="32"/>
          <w:szCs w:val="32"/>
          <w:lang w:eastAsia="zh-CN"/>
        </w:rPr>
        <w:t>阳城镇</w:t>
      </w:r>
      <w:r>
        <w:rPr>
          <w:rFonts w:hint="eastAsia" w:ascii="仿宋_GB2312" w:hAnsi="仿宋" w:eastAsia="仿宋_GB2312" w:cs="仿宋_GB2312"/>
          <w:sz w:val="32"/>
          <w:szCs w:val="32"/>
        </w:rPr>
        <w:t>人民政府应当加强社会宣传活动，教育公民遵守有关法律、法规和规章。广播、电视、报刊等新闻媒体，应当做好禁止燃放烟花爆竹的宣传、教育工作，并在重大节日期间加大宣传力度。</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七、在禁燃区范围内燃放烟花爆竹的，由公安部门责令停止燃放，处100元以上500元以下的罚款；构成违反治安管理行为的，依法给予治安管理处罚；构成犯罪的，依法追究刑事责任。</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八、鼓励公民举报非法生产、储存、销售和燃放烟花爆竹的行为，职能部门依法保护举报人的权益。举报电话12345。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left"/>
        <w:textAlignment w:val="auto"/>
        <w:rPr>
          <w:rFonts w:hint="eastAsia" w:ascii="仿宋_GB2312" w:hAnsi="仿宋" w:eastAsia="仿宋_GB2312" w:cs="仿宋_GB2312"/>
          <w:sz w:val="32"/>
          <w:szCs w:val="32"/>
        </w:rPr>
      </w:pPr>
      <w:r>
        <w:rPr>
          <w:rFonts w:hint="eastAsia" w:ascii="仿宋_GB2312" w:hAnsi="仿宋_GB2312" w:cs="仿宋_GB2312"/>
          <w:sz w:val="32"/>
          <w:szCs w:val="32"/>
          <w:lang w:eastAsia="zh-CN"/>
        </w:rPr>
        <w:t>九、</w:t>
      </w: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通告</w:t>
      </w:r>
      <w:r>
        <w:rPr>
          <w:rFonts w:hint="eastAsia" w:ascii="仿宋_GB2312" w:hAnsi="仿宋_GB2312" w:eastAsia="仿宋_GB2312" w:cs="仿宋_GB2312"/>
          <w:sz w:val="32"/>
          <w:szCs w:val="32"/>
        </w:rPr>
        <w:t>由市生态环境局阳山分局负责解释</w:t>
      </w:r>
      <w:r>
        <w:rPr>
          <w:rFonts w:hint="eastAsia" w:ascii="仿宋_GB2312" w:hAnsi="仿宋_GB2312" w:eastAsia="仿宋_GB2312" w:cs="仿宋_GB2312"/>
          <w:sz w:val="32"/>
          <w:szCs w:val="32"/>
          <w:lang w:eastAsia="zh-CN"/>
        </w:rPr>
        <w:t>。</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lang w:eastAsia="zh-CN"/>
        </w:rPr>
      </w:pPr>
      <w:r>
        <w:rPr>
          <w:rFonts w:hint="eastAsia" w:ascii="仿宋_GB2312" w:hAnsi="仿宋" w:eastAsia="仿宋_GB2312" w:cs="仿宋_GB2312"/>
          <w:sz w:val="32"/>
          <w:szCs w:val="32"/>
          <w:lang w:eastAsia="zh-CN"/>
        </w:rPr>
        <w:t>十</w:t>
      </w:r>
      <w:r>
        <w:rPr>
          <w:rFonts w:hint="eastAsia" w:ascii="仿宋_GB2312" w:hAnsi="仿宋" w:eastAsia="仿宋_GB2312" w:cs="仿宋_GB2312"/>
          <w:sz w:val="32"/>
          <w:szCs w:val="32"/>
        </w:rPr>
        <w:t>、本通告自</w:t>
      </w:r>
      <w:r>
        <w:rPr>
          <w:rFonts w:hint="eastAsia" w:ascii="仿宋_GB2312" w:hAnsi="仿宋" w:eastAsia="仿宋_GB2312" w:cs="仿宋_GB2312"/>
          <w:sz w:val="32"/>
          <w:szCs w:val="32"/>
          <w:lang w:val="en-US" w:eastAsia="zh-CN"/>
        </w:rPr>
        <w:t>2027年1月1日</w:t>
      </w:r>
      <w:r>
        <w:rPr>
          <w:rFonts w:hint="eastAsia" w:ascii="仿宋_GB2312" w:hAnsi="仿宋" w:eastAsia="仿宋_GB2312" w:cs="仿宋_GB2312"/>
          <w:sz w:val="32"/>
          <w:szCs w:val="32"/>
        </w:rPr>
        <w:t>起实施，有效期5年。</w:t>
      </w:r>
    </w:p>
    <w:p>
      <w:pPr>
        <w:pStyle w:val="1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 w:eastAsia="仿宋_GB2312" w:cs="仿宋_GB2312"/>
          <w:sz w:val="32"/>
          <w:szCs w:val="32"/>
        </w:rPr>
      </w:pPr>
      <w:r>
        <w:rPr>
          <w:rFonts w:hint="eastAsia" w:ascii="仿宋_GB2312" w:hAnsi="仿宋" w:eastAsia="仿宋_GB2312" w:cs="仿宋_GB2312"/>
          <w:sz w:val="32"/>
          <w:szCs w:val="32"/>
        </w:rPr>
        <w:t>特此通告。</w:t>
      </w:r>
    </w:p>
    <w:bookmarkEnd w:id="0"/>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sectPr>
          <w:footerReference r:id="rId4" w:type="first"/>
          <w:footerReference r:id="rId3" w:type="default"/>
          <w:pgSz w:w="11906" w:h="16838"/>
          <w:pgMar w:top="2211" w:right="1474" w:bottom="1871" w:left="1588" w:header="851" w:footer="1474" w:gutter="0"/>
          <w:pgNumType w:fmt="numberInDash"/>
          <w:cols w:space="720" w:num="1"/>
          <w:titlePg/>
          <w:docGrid w:type="lines" w:linePitch="579" w:charSpace="-849"/>
        </w:sect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r>
        <w:rPr>
          <w:rFonts w:hint="eastAsia"/>
          <w:lang w:val="en-US" w:eastAsia="zh-CN"/>
        </w:rPr>
        <w:t>附件：范围示意图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rPr>
          <w:rFonts w:hint="eastAsia"/>
          <w:lang w:val="en-US" w:eastAsia="zh-CN"/>
        </w:rPr>
        <w:drawing>
          <wp:inline distT="0" distB="0" distL="114300" distR="114300">
            <wp:extent cx="7936865" cy="5029835"/>
            <wp:effectExtent l="0" t="0" r="6985" b="18415"/>
            <wp:docPr id="3" name="图片 3" descr="县城烟花爆竹禁燃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县城烟花爆竹禁燃区范围示意图"/>
                    <pic:cNvPicPr>
                      <a:picLocks noChangeAspect="1"/>
                    </pic:cNvPicPr>
                  </pic:nvPicPr>
                  <pic:blipFill>
                    <a:blip r:embed="rId6"/>
                    <a:stretch>
                      <a:fillRect/>
                    </a:stretch>
                  </pic:blipFill>
                  <pic:spPr>
                    <a:xfrm>
                      <a:off x="0" y="0"/>
                      <a:ext cx="7936865" cy="5029835"/>
                    </a:xfrm>
                    <a:prstGeom prst="rect">
                      <a:avLst/>
                    </a:prstGeom>
                  </pic:spPr>
                </pic:pic>
              </a:graphicData>
            </a:graphic>
          </wp:inline>
        </w:drawing>
      </w:r>
    </w:p>
    <w:sectPr>
      <w:pgSz w:w="16838" w:h="11906" w:orient="landscape"/>
      <w:pgMar w:top="1588" w:right="2211" w:bottom="1474" w:left="1871" w:header="851" w:footer="1474" w:gutter="0"/>
      <w:pgNumType w:fmt="numberInDash"/>
      <w:cols w:space="720" w:num="1"/>
      <w:titlePg/>
      <w:docGrid w:type="line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2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Raavi">
    <w:panose1 w:val="020B0502040204020203"/>
    <w:charset w:val="00"/>
    <w:family w:val="auto"/>
    <w:pitch w:val="default"/>
    <w:sig w:usb0="00020003"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 w:name="楷体_GB2312">
    <w:panose1 w:val="02010609030101010101"/>
    <w:charset w:val="86"/>
    <w:family w:val="auto"/>
    <w:pitch w:val="default"/>
    <w:sig w:usb0="00000001" w:usb1="080E0000" w:usb2="00000000" w:usb3="00000000" w:csb0="00040000" w:csb1="00000000"/>
  </w:font>
  <w:font w:name="Sakkal Majalla">
    <w:panose1 w:val="02000000000000000000"/>
    <w:charset w:val="00"/>
    <w:family w:val="auto"/>
    <w:pitch w:val="default"/>
    <w:sig w:usb0="A000207F" w:usb1="C000204B" w:usb2="00000008" w:usb3="00000000" w:csb0="200000D3" w:csb1="00000000"/>
  </w:font>
  <w:font w:name="Segoe Print">
    <w:panose1 w:val="02000600000000000000"/>
    <w:charset w:val="00"/>
    <w:family w:val="auto"/>
    <w:pitch w:val="default"/>
    <w:sig w:usb0="0000028F" w:usb1="00000000" w:usb2="00000000" w:usb3="00000000" w:csb0="2000009F" w:csb1="47010000"/>
  </w:font>
  <w:font w:name="Narkisim">
    <w:panose1 w:val="020E0502050101010101"/>
    <w:charset w:val="00"/>
    <w:family w:val="auto"/>
    <w:pitch w:val="default"/>
    <w:sig w:usb0="00000801" w:usb1="00000000" w:usb2="00000000" w:usb3="00000000" w:csb0="00000020" w:csb1="00200000"/>
  </w:font>
  <w:font w:name="Symbol">
    <w:panose1 w:val="05050102010706020507"/>
    <w:charset w:val="00"/>
    <w:family w:val="auto"/>
    <w:pitch w:val="default"/>
    <w:sig w:usb0="00000000" w:usb1="00000000" w:usb2="00000000" w:usb3="00000000" w:csb0="8000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5693"/>
        <w:tab w:val="clear" w:pos="4153"/>
      </w:tabs>
      <w:ind w:right="360" w:firstLine="3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3"/>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- 2 -</w:t>
                    </w:r>
                    <w:r>
                      <w:rPr>
                        <w:rFonts w:hint="eastAsia" w:ascii="仿宋_GB2312" w:hAnsi="仿宋_GB2312" w:eastAsia="仿宋_GB2312" w:cs="仿宋_GB2312"/>
                        <w:sz w:val="32"/>
                        <w:szCs w:val="32"/>
                      </w:rPr>
                      <w:fldChar w:fldCharType="end"/>
                    </w:r>
                  </w:p>
                </w:txbxContent>
              </v:textbox>
            </v:shape>
          </w:pict>
        </mc:Fallback>
      </mc:AlternateContent>
    </w:r>
    <w:r>
      <w:rPr>
        <w:rFonts w:hint="eastAsia" w:ascii="仿宋_GB2312" w:hAnsi="仿宋_GB2312" w:eastAsia="仿宋_GB2312" w:cs="仿宋_GB2312"/>
        <w:sz w:val="32"/>
        <w:szCs w:val="32"/>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3"/>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A6080"/>
    <w:rsid w:val="045B5160"/>
    <w:rsid w:val="077713F5"/>
    <w:rsid w:val="0A3C6CB5"/>
    <w:rsid w:val="19AD4275"/>
    <w:rsid w:val="242228BF"/>
    <w:rsid w:val="2F4E5164"/>
    <w:rsid w:val="33570A65"/>
    <w:rsid w:val="370954C1"/>
    <w:rsid w:val="381923BF"/>
    <w:rsid w:val="3AB1111B"/>
    <w:rsid w:val="3DE760BF"/>
    <w:rsid w:val="3F0D6C18"/>
    <w:rsid w:val="42146437"/>
    <w:rsid w:val="433513BF"/>
    <w:rsid w:val="512F6506"/>
    <w:rsid w:val="51BE0B9C"/>
    <w:rsid w:val="5B8B1DDE"/>
    <w:rsid w:val="5C61531C"/>
    <w:rsid w:val="5C6660E3"/>
    <w:rsid w:val="68904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alloon Text"/>
    <w:basedOn w:val="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7">
    <w:name w:val="page number"/>
    <w:basedOn w:val="6"/>
    <w:qFormat/>
    <w:uiPriority w:val="0"/>
    <w:rPr>
      <w:rFonts w:ascii="Times New Roman" w:hAnsi="Times New Roman" w:eastAsia="宋体"/>
    </w:rPr>
  </w:style>
  <w:style w:type="paragraph" w:customStyle="1" w:styleId="8">
    <w:name w:val="&quot;正文 New New New New New New New New New New New New New New New New New New New New New New New New&quot;"/>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
    <w:name w:val="正文 New"/>
    <w:qFormat/>
    <w:uiPriority w:val="0"/>
    <w:pPr>
      <w:widowControl w:val="0"/>
      <w:jc w:val="both"/>
    </w:pPr>
    <w:rPr>
      <w:rFonts w:ascii="Calibri" w:hAnsi="Calibri" w:eastAsia="宋体" w:cs="黑体"/>
      <w:kern w:val="2"/>
      <w:sz w:val="21"/>
      <w:szCs w:val="24"/>
      <w:lang w:val="en-US" w:eastAsia="zh-CN" w:bidi="ar-SA"/>
    </w:rPr>
  </w:style>
  <w:style w:type="paragraph" w:customStyle="1" w:styleId="10">
    <w:name w:val="正文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
    <w:name w:val="正文 New New New New New New New New New New New New New New New"/>
    <w:qFormat/>
    <w:uiPriority w:val="0"/>
    <w:pPr>
      <w:widowControl w:val="0"/>
      <w:jc w:val="both"/>
    </w:pPr>
    <w:rPr>
      <w:rFonts w:ascii="Calibri" w:hAnsi="Calibri" w:eastAsia="宋体" w:cs="黑体"/>
      <w:kern w:val="2"/>
      <w:sz w:val="21"/>
      <w:szCs w:val="24"/>
      <w:lang w:val="en-US" w:eastAsia="zh-CN" w:bidi="ar-SA"/>
    </w:rPr>
  </w:style>
  <w:style w:type="paragraph" w:customStyle="1" w:styleId="12">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
    <w:name w:val="正文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
    <w:name w:val="正文 New New New New New New New New New New New New"/>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21</TotalTime>
  <ScaleCrop>false</ScaleCrop>
  <LinksUpToDate>false</LinksUpToDate>
  <CharactersWithSpaces>0</CharactersWithSpaces>
  <Application>WPS Office_11.8.2.12287_F1E327BC-269C-435d-A152-05C5408002CA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2022-05-16T01:41:00Z</dcterms:created>
  <dc:creator>Lxf</dc:creator>
  <cp:lastModifiedBy>方羚</cp:lastModifiedBy>
  <cp:lastPrinted>2026-07-21T08:57:00Z</cp:lastPrinted>
  <dcterms:modified xsi:type="dcterms:W3CDTF">2026-07-22T00:55:47Z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2052-11.8.2.12287</vt:lpwstr>
  </property>
  <property fmtid="{D5CDD505-2E9C-101B-9397-08002B2CF9AE}" pid="3" name="ICV">
    <vt:lpwstr>48C2499D0D3F4B3EB927856044544170</vt:lpwstr>
  </property>
  <property fmtid="{D5CDD505-2E9C-101B-9397-08002B2CF9AE}" pid="4" name="ribbonExt">
    <vt:lpwstr>{"WPSExtOfficeTab":{"OnGetEnabled":false,"OnGetVisible":false}}</vt:lpwstr>
  </property>
</Properties>
</file>