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黑体"/>
          <w:bCs/>
          <w:sz w:val="28"/>
          <w:szCs w:val="28"/>
        </w:rPr>
      </w:pPr>
      <w:r>
        <w:rPr>
          <w:rFonts w:hint="eastAsia" w:ascii="仿宋_GB2312" w:hAnsi="黑体"/>
          <w:bCs/>
          <w:sz w:val="28"/>
          <w:szCs w:val="28"/>
        </w:rPr>
        <w:t>附件3</w:t>
      </w:r>
    </w:p>
    <w:p>
      <w:pPr>
        <w:jc w:val="center"/>
        <w:rPr>
          <w:rFonts w:ascii="仿宋_GB2312" w:hAnsi="华文中宋"/>
          <w:bCs/>
          <w:sz w:val="36"/>
          <w:szCs w:val="44"/>
        </w:rPr>
      </w:pPr>
    </w:p>
    <w:p>
      <w:pPr>
        <w:jc w:val="center"/>
        <w:rPr>
          <w:rFonts w:ascii="宋体" w:hAnsi="宋体" w:eastAsia="宋体" w:cs="宋体"/>
          <w:b/>
          <w:sz w:val="36"/>
          <w:szCs w:val="44"/>
        </w:rPr>
      </w:pPr>
      <w:bookmarkStart w:id="1" w:name="_GoBack"/>
      <w:bookmarkEnd w:id="1"/>
      <w:r>
        <w:rPr>
          <w:rFonts w:hint="eastAsia" w:ascii="Arial" w:hAnsi="Arial" w:eastAsia="宋体" w:cs="Arial"/>
          <w:b/>
          <w:sz w:val="36"/>
          <w:szCs w:val="44"/>
          <w:lang w:eastAsia="zh-CN"/>
        </w:rPr>
        <w:t>阳山县体育公园</w:t>
      </w:r>
      <w:r>
        <w:rPr>
          <w:rFonts w:hint="eastAsia" w:ascii="Arial" w:hAnsi="Arial" w:eastAsia="宋体" w:cs="Arial"/>
          <w:b/>
          <w:sz w:val="36"/>
          <w:szCs w:val="44"/>
        </w:rPr>
        <w:t>设施建设维护和开放经费资金20</w:t>
      </w:r>
      <w:r>
        <w:rPr>
          <w:rFonts w:hint="eastAsia" w:ascii="Arial" w:hAnsi="Arial" w:eastAsia="宋体" w:cs="Arial"/>
          <w:b/>
          <w:sz w:val="36"/>
          <w:szCs w:val="44"/>
          <w:lang w:val="en-US" w:eastAsia="zh-CN"/>
        </w:rPr>
        <w:t>2</w:t>
      </w:r>
      <w:r>
        <w:rPr>
          <w:rFonts w:hint="eastAsia" w:ascii="Arial" w:hAnsi="Arial" w:eastAsia="宋体" w:cs="Arial"/>
          <w:b/>
          <w:color w:val="auto"/>
          <w:sz w:val="36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36"/>
          <w:szCs w:val="44"/>
        </w:rPr>
        <w:t>年度绩效自评报告</w:t>
      </w:r>
    </w:p>
    <w:p>
      <w:pPr>
        <w:ind w:firstLine="600" w:firstLineChars="200"/>
        <w:rPr>
          <w:rFonts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一、绩效目标分解下达情况</w:t>
      </w:r>
    </w:p>
    <w:p>
      <w:pPr>
        <w:spacing w:line="540" w:lineRule="exact"/>
        <w:ind w:firstLine="600" w:firstLineChars="200"/>
        <w:outlineLvl w:val="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  <w:lang w:eastAsia="zh-CN"/>
        </w:rPr>
        <w:t>阳山县体育公园</w:t>
      </w:r>
      <w:r>
        <w:rPr>
          <w:rFonts w:hint="eastAsia" w:ascii="仿宋_GB2312"/>
          <w:szCs w:val="32"/>
        </w:rPr>
        <w:t>设施建设维护和开放经费资金转移支付预算和</w:t>
      </w:r>
      <w:r>
        <w:rPr>
          <w:rFonts w:hint="eastAsia" w:ascii="仿宋_GB2312"/>
          <w:szCs w:val="32"/>
          <w:lang w:eastAsia="zh-CN"/>
        </w:rPr>
        <w:t>区域</w:t>
      </w:r>
      <w:r>
        <w:rPr>
          <w:rFonts w:hint="eastAsia" w:ascii="仿宋_GB2312"/>
          <w:szCs w:val="32"/>
        </w:rPr>
        <w:t>绩效目标情况</w:t>
      </w:r>
      <w:r>
        <w:rPr>
          <w:rFonts w:hint="eastAsia" w:ascii="仿宋_GB2312"/>
          <w:szCs w:val="32"/>
          <w:lang w:val="en-US" w:eastAsia="zh-CN"/>
        </w:rPr>
        <w:t>：根据粤财科教〔2024〕241号文件精神及体育公园具体情况分配资金，维持阳山县体育公园日常运营，进一步提升了阳山县全民健身水平。</w:t>
      </w:r>
      <w:r>
        <w:rPr>
          <w:rFonts w:hint="eastAsia" w:ascii="仿宋_GB2312"/>
          <w:szCs w:val="32"/>
          <w:lang w:eastAsia="zh-CN"/>
        </w:rPr>
        <w:tab/>
      </w:r>
      <w:r>
        <w:rPr>
          <w:rFonts w:hint="eastAsia" w:ascii="仿宋_GB2312"/>
          <w:szCs w:val="32"/>
          <w:lang w:eastAsia="zh-CN"/>
        </w:rPr>
        <w:tab/>
      </w:r>
    </w:p>
    <w:p>
      <w:pPr>
        <w:ind w:firstLine="600" w:firstLineChars="200"/>
        <w:rPr>
          <w:rFonts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二、绩效情况分析</w:t>
      </w:r>
    </w:p>
    <w:p>
      <w:pPr>
        <w:ind w:firstLine="602" w:firstLineChars="200"/>
        <w:outlineLvl w:val="0"/>
        <w:rPr>
          <w:rFonts w:hint="eastAsia"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（一）资金投入情况分析。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300" w:afterAutospacing="0" w:line="450" w:lineRule="atLeast"/>
        <w:ind w:firstLine="642" w:firstLineChars="200"/>
        <w:jc w:val="both"/>
        <w:textAlignment w:val="auto"/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hAnsi="仿宋_GB2312" w:eastAsia="仿宋_GB2312"/>
          <w:b/>
          <w:bCs/>
          <w:sz w:val="32"/>
        </w:rPr>
        <w:t>1</w:t>
      </w:r>
      <w:r>
        <w:rPr>
          <w:rFonts w:ascii="仿宋_GB2312" w:hAnsi="仿宋_GB2312" w:eastAsia="仿宋_GB2312"/>
          <w:b/>
          <w:bCs/>
          <w:sz w:val="32"/>
        </w:rPr>
        <w:t>.</w:t>
      </w:r>
      <w:r>
        <w:rPr>
          <w:rFonts w:hint="eastAsia" w:ascii="仿宋_GB2312" w:hAnsi="仿宋_GB2312" w:eastAsia="仿宋_GB2312"/>
          <w:b/>
          <w:bCs/>
          <w:sz w:val="32"/>
        </w:rPr>
        <w:t>项目资金到位情况分析</w:t>
      </w:r>
      <w:r>
        <w:rPr>
          <w:rFonts w:hint="eastAsia" w:ascii="仿宋_GB2312" w:hAnsi="仿宋_GB2312" w:eastAsia="仿宋_GB2312"/>
          <w:b/>
          <w:bCs/>
          <w:sz w:val="32"/>
          <w:lang w:eastAsia="zh-CN"/>
        </w:rPr>
        <w:t>：</w:t>
      </w:r>
      <w:bookmarkStart w:id="0" w:name="OLE_LINK1"/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阳山县体育公园设施建设维护和开放经费资金57万元资金到位率</w:t>
      </w:r>
      <w:r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  <w:t>10</w:t>
      </w: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0%。</w:t>
      </w:r>
      <w:bookmarkEnd w:id="0"/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300" w:afterAutospacing="0" w:line="450" w:lineRule="atLeast"/>
        <w:ind w:firstLine="642" w:firstLineChars="200"/>
        <w:jc w:val="both"/>
        <w:textAlignment w:val="auto"/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hAnsi="仿宋_GB2312" w:eastAsia="仿宋_GB2312"/>
          <w:b/>
          <w:bCs/>
          <w:sz w:val="32"/>
        </w:rPr>
        <w:t>2</w:t>
      </w:r>
      <w:r>
        <w:rPr>
          <w:rFonts w:ascii="仿宋_GB2312" w:hAnsi="仿宋_GB2312" w:eastAsia="仿宋_GB2312"/>
          <w:b/>
          <w:bCs/>
          <w:sz w:val="32"/>
        </w:rPr>
        <w:t>.</w:t>
      </w:r>
      <w:r>
        <w:rPr>
          <w:rFonts w:hint="eastAsia" w:ascii="仿宋_GB2312" w:hAnsi="仿宋_GB2312" w:eastAsia="仿宋_GB2312"/>
          <w:b/>
          <w:bCs/>
          <w:sz w:val="32"/>
        </w:rPr>
        <w:t>项目资金执行情况分析</w:t>
      </w:r>
      <w:r>
        <w:rPr>
          <w:rFonts w:hint="eastAsia" w:ascii="仿宋_GB2312" w:hAnsi="仿宋_GB2312" w:eastAsia="仿宋_GB2312"/>
          <w:b/>
          <w:bCs/>
          <w:sz w:val="32"/>
          <w:lang w:eastAsia="zh-CN"/>
        </w:rPr>
        <w:t>：</w:t>
      </w: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阳山县体育公园设施建设维护和开放经费资金57万元资金到位率</w:t>
      </w:r>
      <w:r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  <w:t>10</w:t>
      </w: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0%，2025年支出</w:t>
      </w:r>
      <w:r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  <w:t>10万元用于支付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阳山县体育公园物业管理服务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费</w:t>
      </w: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textAlignment w:val="auto"/>
        <w:outlineLvl w:val="0"/>
        <w:rPr>
          <w:rFonts w:hint="eastAsia" w:ascii="仿宋_GB2312" w:hAnsi="仿宋_GB2312" w:eastAsia="仿宋_GB2312"/>
          <w:b/>
          <w:bCs/>
          <w:sz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（二）</w:t>
      </w:r>
      <w:r>
        <w:rPr>
          <w:rFonts w:hint="eastAsia" w:ascii="楷体_GB2312" w:hAnsi="楷体_GB2312" w:eastAsia="楷体_GB2312" w:cs="楷体_GB2312"/>
          <w:b/>
          <w:bCs/>
          <w:szCs w:val="32"/>
          <w:lang w:val="en-US" w:eastAsia="zh-CN"/>
        </w:rPr>
        <w:t>资金管理情况分析。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根据《彩票公益金管理办法》（财综〔2012〕15号）、《广东省省级财政专项资金管理办法》(粤府〔2013〕125号)和《广东省省级体育彩票公益金管理办法》等相关文件</w:t>
      </w:r>
      <w:r>
        <w:rPr>
          <w:rFonts w:hint="eastAsia" w:ascii="仿宋_GB2312" w:hAnsi="仿宋_GB2312" w:eastAsia="仿宋_GB2312"/>
          <w:b/>
          <w:bCs/>
          <w:sz w:val="32"/>
          <w:lang w:eastAsia="zh-CN"/>
        </w:rPr>
        <w:t>，</w:t>
      </w:r>
      <w:r>
        <w:rPr>
          <w:rFonts w:hint="eastAsia" w:ascii="仿宋_GB2312" w:hAnsi="仿宋_GB2312" w:eastAsia="仿宋_GB2312"/>
          <w:b w:val="0"/>
          <w:bCs w:val="0"/>
          <w:sz w:val="32"/>
          <w:lang w:eastAsia="zh-CN"/>
        </w:rPr>
        <w:t xml:space="preserve">项目资金使用符合国家财经法规、项目资金管理办法的规定，符合项目预算批复规定的用途，资金的拨付审批程序和手续基本完整；财务管理严格按照我局财务管理制度规范执行，坚持“专项核算、专人管理、专款专用”的原则，不存在超标准、截留、挪用、虚列支出等情况。 </w:t>
      </w:r>
    </w:p>
    <w:p>
      <w:pPr>
        <w:spacing w:line="600" w:lineRule="exact"/>
        <w:ind w:firstLine="602" w:firstLineChars="200"/>
        <w:outlineLvl w:val="0"/>
        <w:rPr>
          <w:rFonts w:hint="eastAsia" w:ascii="仿宋_GB2312" w:hAnsi="仿宋_GB2312" w:eastAsia="仿宋_GB2312" w:cs="仿宋_GB2312"/>
          <w:color w:val="000000"/>
          <w:sz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szCs w:val="32"/>
          <w:lang w:eastAsia="zh-CN"/>
        </w:rPr>
        <w:t>三</w:t>
      </w:r>
      <w:r>
        <w:rPr>
          <w:rFonts w:hint="eastAsia" w:ascii="楷体_GB2312" w:hAnsi="楷体_GB2312" w:eastAsia="楷体_GB2312" w:cs="楷体_GB2312"/>
          <w:b/>
          <w:bCs/>
          <w:szCs w:val="32"/>
        </w:rPr>
        <w:t>）绩效指标完成情况分析。</w:t>
      </w:r>
      <w:r>
        <w:rPr>
          <w:rFonts w:hint="eastAsia" w:ascii="仿宋_GB2312" w:hAnsi="仿宋_GB2312" w:eastAsia="仿宋_GB2312" w:cs="仿宋_GB2312"/>
          <w:color w:val="000000"/>
          <w:sz w:val="32"/>
        </w:rPr>
        <w:t xml:space="preserve"> 1.产出指标完成情况</w:t>
      </w:r>
    </w:p>
    <w:p>
      <w:pPr>
        <w:spacing w:line="600" w:lineRule="exact"/>
        <w:ind w:firstLine="640" w:firstLineChars="200"/>
        <w:outlineLvl w:val="0"/>
        <w:rPr>
          <w:rFonts w:hint="default" w:ascii="仿宋_GB2312" w:hAnsi="仿宋_GB2312" w:eastAsia="仿宋_GB2312" w:cs="仿宋_GB2312"/>
          <w:color w:val="000000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</w:rPr>
        <w:t>（1）数量指标：</w:t>
      </w:r>
      <w:r>
        <w:rPr>
          <w:rFonts w:hint="eastAsia" w:ascii="仿宋_GB2312" w:hAnsi="仿宋_GB2312" w:cs="仿宋_GB2312"/>
          <w:color w:val="000000"/>
          <w:sz w:val="32"/>
          <w:lang w:eastAsia="zh-CN"/>
        </w:rPr>
        <w:t>开展体育锻炼标准宣传推广活动次数达</w:t>
      </w:r>
      <w:r>
        <w:rPr>
          <w:rFonts w:hint="eastAsia" w:ascii="仿宋_GB2312" w:hAnsi="仿宋_GB2312" w:cs="仿宋_GB2312"/>
          <w:color w:val="000000"/>
          <w:sz w:val="32"/>
          <w:lang w:val="en-US" w:eastAsia="zh-CN"/>
        </w:rPr>
        <w:t>2次。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/>
          <w:sz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</w:rPr>
        <w:t>2.效益指标完成情况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000000"/>
          <w:sz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</w:rPr>
        <w:t>（1）社会效益：有效</w:t>
      </w:r>
      <w:r>
        <w:rPr>
          <w:rFonts w:hint="eastAsia" w:ascii="仿宋_GB2312" w:hAnsi="仿宋_GB2312" w:cs="仿宋_GB2312"/>
          <w:color w:val="000000"/>
          <w:sz w:val="32"/>
          <w:lang w:eastAsia="zh-CN"/>
        </w:rPr>
        <w:t>提高公共文化体育服务质量</w:t>
      </w:r>
      <w:r>
        <w:rPr>
          <w:rFonts w:hint="eastAsia" w:ascii="仿宋_GB2312" w:hAnsi="仿宋_GB2312" w:eastAsia="仿宋_GB2312" w:cs="仿宋_GB2312"/>
          <w:color w:val="000000"/>
          <w:sz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000000"/>
          <w:sz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</w:rPr>
        <w:t>3.</w:t>
      </w:r>
      <w:r>
        <w:rPr>
          <w:rFonts w:hint="eastAsia" w:ascii="仿宋_GB2312" w:hAnsi="仿宋_GB2312" w:cs="仿宋_GB2312"/>
          <w:color w:val="000000"/>
          <w:sz w:val="32"/>
          <w:lang w:eastAsia="zh-CN"/>
        </w:rPr>
        <w:t>成本</w:t>
      </w:r>
      <w:r>
        <w:rPr>
          <w:rFonts w:hint="eastAsia" w:ascii="仿宋_GB2312" w:hAnsi="仿宋_GB2312" w:eastAsia="仿宋_GB2312" w:cs="仿宋_GB2312"/>
          <w:color w:val="000000"/>
          <w:sz w:val="32"/>
        </w:rPr>
        <w:t>指标完成情况分析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000000"/>
          <w:sz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</w:rPr>
        <w:t>（1）</w:t>
      </w:r>
      <w:r>
        <w:rPr>
          <w:rFonts w:hint="eastAsia" w:ascii="仿宋_GB2312" w:hAnsi="仿宋_GB2312" w:cs="仿宋_GB2312"/>
          <w:color w:val="000000"/>
          <w:sz w:val="32"/>
          <w:lang w:eastAsia="zh-CN"/>
        </w:rPr>
        <w:t>项目在预算内完成支出。</w:t>
      </w:r>
    </w:p>
    <w:p>
      <w:pPr>
        <w:ind w:firstLine="640" w:firstLineChars="200"/>
        <w:outlineLvl w:val="0"/>
        <w:rPr>
          <w:rFonts w:hint="eastAsia" w:ascii="黑体" w:hAnsi="黑体" w:eastAsia="黑体" w:cs="华文中宋"/>
          <w:sz w:val="32"/>
        </w:rPr>
      </w:pPr>
      <w:r>
        <w:rPr>
          <w:rFonts w:hint="eastAsia" w:ascii="黑体" w:hAnsi="黑体" w:eastAsia="黑体" w:cs="华文中宋"/>
          <w:sz w:val="32"/>
        </w:rPr>
        <w:t>三、项目反思与下一步改进措施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000000"/>
          <w:sz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</w:rPr>
        <w:t>项目在实施中存在预算执行进度偏慢，整体工作效率与推进水平有待进一步提升。下一步将严格按照预算执行，加快资金支付与项目实施进度，强化过程管控与节点督办，确保按期全面完成绩效目标。</w:t>
      </w:r>
    </w:p>
    <w:p>
      <w:pPr>
        <w:ind w:firstLine="640" w:firstLineChars="200"/>
        <w:outlineLvl w:val="0"/>
        <w:rPr>
          <w:rFonts w:hint="eastAsia" w:ascii="黑体" w:hAnsi="黑体" w:eastAsia="黑体" w:cs="华文中宋"/>
          <w:sz w:val="32"/>
        </w:rPr>
      </w:pPr>
      <w:r>
        <w:rPr>
          <w:rFonts w:hint="eastAsia" w:ascii="黑体" w:hAnsi="黑体" w:eastAsia="黑体" w:cs="华文中宋"/>
          <w:sz w:val="32"/>
        </w:rPr>
        <w:t>四、绩效自评结果拟应用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</w:rPr>
        <w:t>在结果应用方面，我们对体育绩效评价指标进行科学合理设定。在基本指标方面，主要对目标设定、完成程度、社会效益和可持续影响等进行评价，并侧重于目标完成率、完成质量和及时性评价；在业务指标方面，主要对资金落实、支出合规、资产配置与项目实施等进行评价，并侧重于资金使用率、支出合规性和执行进度评价。以绩效自评结果为导向，优化项目管理流程，提升资金使用效益，持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完善县域公共体育场地硬件配套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，做好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日常运维与环境提质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。</w:t>
      </w:r>
    </w:p>
    <w:p>
      <w:pPr>
        <w:outlineLvl w:val="0"/>
        <w:rPr>
          <w:rFonts w:hint="eastAsia" w:ascii="仿宋_GB2312" w:hAnsi="仿宋_GB2312" w:eastAsia="仿宋_GB2312"/>
          <w:sz w:val="32"/>
        </w:rPr>
      </w:pPr>
    </w:p>
    <w:p>
      <w:pPr>
        <w:ind w:firstLine="600" w:firstLineChars="20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altName w:val="文鼎特粗宋簡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文鼎特粗宋簡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50"/>
  <w:drawingGridVerticalSpacing w:val="5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3ZDYwZDljMzVjY2I5ODA3MTEzZDFmNGU2NDY2N2YifQ=="/>
  </w:docVars>
  <w:rsids>
    <w:rsidRoot w:val="00F57F82"/>
    <w:rsid w:val="000101E1"/>
    <w:rsid w:val="000732DA"/>
    <w:rsid w:val="00075CDC"/>
    <w:rsid w:val="000B1E8F"/>
    <w:rsid w:val="000B6964"/>
    <w:rsid w:val="00103D16"/>
    <w:rsid w:val="00111638"/>
    <w:rsid w:val="00111928"/>
    <w:rsid w:val="0012041C"/>
    <w:rsid w:val="00164D84"/>
    <w:rsid w:val="00173016"/>
    <w:rsid w:val="0017509C"/>
    <w:rsid w:val="001808CA"/>
    <w:rsid w:val="001A4E46"/>
    <w:rsid w:val="001E03FE"/>
    <w:rsid w:val="002123E8"/>
    <w:rsid w:val="00250053"/>
    <w:rsid w:val="0029569C"/>
    <w:rsid w:val="002A5FA7"/>
    <w:rsid w:val="002B3EEF"/>
    <w:rsid w:val="002B54E4"/>
    <w:rsid w:val="002E5562"/>
    <w:rsid w:val="002F6705"/>
    <w:rsid w:val="00301FC0"/>
    <w:rsid w:val="00336A16"/>
    <w:rsid w:val="003663A3"/>
    <w:rsid w:val="00387DD5"/>
    <w:rsid w:val="003B0980"/>
    <w:rsid w:val="003C6374"/>
    <w:rsid w:val="003D2CB9"/>
    <w:rsid w:val="00413F12"/>
    <w:rsid w:val="00493012"/>
    <w:rsid w:val="004D2137"/>
    <w:rsid w:val="005D1514"/>
    <w:rsid w:val="005D7CC3"/>
    <w:rsid w:val="006218A1"/>
    <w:rsid w:val="00682A10"/>
    <w:rsid w:val="006A30E4"/>
    <w:rsid w:val="006A74BF"/>
    <w:rsid w:val="006C1CEE"/>
    <w:rsid w:val="006D5A86"/>
    <w:rsid w:val="00707C2E"/>
    <w:rsid w:val="00722A7D"/>
    <w:rsid w:val="00724A6B"/>
    <w:rsid w:val="0073331B"/>
    <w:rsid w:val="00733C2D"/>
    <w:rsid w:val="00756C7F"/>
    <w:rsid w:val="007D7E6E"/>
    <w:rsid w:val="00850797"/>
    <w:rsid w:val="00853FC4"/>
    <w:rsid w:val="008720F1"/>
    <w:rsid w:val="00882EFA"/>
    <w:rsid w:val="008B2F56"/>
    <w:rsid w:val="008F0996"/>
    <w:rsid w:val="00903791"/>
    <w:rsid w:val="009600BD"/>
    <w:rsid w:val="00961C83"/>
    <w:rsid w:val="009922BC"/>
    <w:rsid w:val="009E0D8C"/>
    <w:rsid w:val="00A02AF3"/>
    <w:rsid w:val="00A25077"/>
    <w:rsid w:val="00A610CC"/>
    <w:rsid w:val="00A8737E"/>
    <w:rsid w:val="00AA19AF"/>
    <w:rsid w:val="00BC6882"/>
    <w:rsid w:val="00BD3FE0"/>
    <w:rsid w:val="00BE58CF"/>
    <w:rsid w:val="00CA5578"/>
    <w:rsid w:val="00CA7DAA"/>
    <w:rsid w:val="00D04826"/>
    <w:rsid w:val="00D63908"/>
    <w:rsid w:val="00D8718A"/>
    <w:rsid w:val="00D93453"/>
    <w:rsid w:val="00DC524D"/>
    <w:rsid w:val="00E071D6"/>
    <w:rsid w:val="00ED3E0F"/>
    <w:rsid w:val="00F015E4"/>
    <w:rsid w:val="00F57F82"/>
    <w:rsid w:val="00F75224"/>
    <w:rsid w:val="00F91EAE"/>
    <w:rsid w:val="00FA086C"/>
    <w:rsid w:val="00FA2093"/>
    <w:rsid w:val="00FA357A"/>
    <w:rsid w:val="02962229"/>
    <w:rsid w:val="037D0BC8"/>
    <w:rsid w:val="0845082D"/>
    <w:rsid w:val="09E965F2"/>
    <w:rsid w:val="139840D3"/>
    <w:rsid w:val="143E091F"/>
    <w:rsid w:val="14865FC8"/>
    <w:rsid w:val="150C2DB0"/>
    <w:rsid w:val="1E761F05"/>
    <w:rsid w:val="1F7BE1E6"/>
    <w:rsid w:val="1FC7205C"/>
    <w:rsid w:val="228B3D05"/>
    <w:rsid w:val="24891521"/>
    <w:rsid w:val="284E74F8"/>
    <w:rsid w:val="2ADB48E8"/>
    <w:rsid w:val="36687282"/>
    <w:rsid w:val="38EF7AD8"/>
    <w:rsid w:val="3E1672E6"/>
    <w:rsid w:val="3EB9C2BB"/>
    <w:rsid w:val="3EE57199"/>
    <w:rsid w:val="415F08D8"/>
    <w:rsid w:val="44E2230F"/>
    <w:rsid w:val="47CBC976"/>
    <w:rsid w:val="48B51347"/>
    <w:rsid w:val="491B45FA"/>
    <w:rsid w:val="4A55216A"/>
    <w:rsid w:val="4FE0696A"/>
    <w:rsid w:val="546F8569"/>
    <w:rsid w:val="55673508"/>
    <w:rsid w:val="59595A6F"/>
    <w:rsid w:val="599330CA"/>
    <w:rsid w:val="5A7FCB1F"/>
    <w:rsid w:val="5C293447"/>
    <w:rsid w:val="5FEAF7C9"/>
    <w:rsid w:val="60D5009F"/>
    <w:rsid w:val="64AC2E11"/>
    <w:rsid w:val="660721C9"/>
    <w:rsid w:val="661E6C75"/>
    <w:rsid w:val="66D61EF8"/>
    <w:rsid w:val="67F75FF5"/>
    <w:rsid w:val="681D4831"/>
    <w:rsid w:val="692E4B19"/>
    <w:rsid w:val="69513EF7"/>
    <w:rsid w:val="6BF3256F"/>
    <w:rsid w:val="6CE7018A"/>
    <w:rsid w:val="6E3E3F2D"/>
    <w:rsid w:val="715B2F02"/>
    <w:rsid w:val="76A548F2"/>
    <w:rsid w:val="7765772E"/>
    <w:rsid w:val="776F5E62"/>
    <w:rsid w:val="77867685"/>
    <w:rsid w:val="781F36B6"/>
    <w:rsid w:val="790627AD"/>
    <w:rsid w:val="7ADC59FA"/>
    <w:rsid w:val="7AFF2FC3"/>
    <w:rsid w:val="7BF6B4C5"/>
    <w:rsid w:val="7DDD794F"/>
    <w:rsid w:val="7FDE47D5"/>
    <w:rsid w:val="7FFE1143"/>
    <w:rsid w:val="94BFC172"/>
    <w:rsid w:val="9BFA614C"/>
    <w:rsid w:val="BFBF52D7"/>
    <w:rsid w:val="DF6E82F1"/>
    <w:rsid w:val="E76EAC20"/>
    <w:rsid w:val="E7710CA6"/>
    <w:rsid w:val="EEFB0082"/>
    <w:rsid w:val="F7FBEBBF"/>
    <w:rsid w:val="FDB538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脚 Char"/>
    <w:basedOn w:val="7"/>
    <w:link w:val="3"/>
    <w:qFormat/>
    <w:uiPriority w:val="99"/>
    <w:rPr>
      <w:rFonts w:eastAsia="仿宋_GB2312"/>
      <w:kern w:val="2"/>
      <w:sz w:val="18"/>
      <w:szCs w:val="18"/>
    </w:rPr>
  </w:style>
  <w:style w:type="character" w:customStyle="1" w:styleId="9">
    <w:name w:val="页眉 Char"/>
    <w:basedOn w:val="7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355</Words>
  <Characters>361</Characters>
  <Lines>3</Lines>
  <Paragraphs>1</Paragraphs>
  <TotalTime>1</TotalTime>
  <ScaleCrop>false</ScaleCrop>
  <LinksUpToDate>false</LinksUpToDate>
  <CharactersWithSpaces>362</CharactersWithSpaces>
  <Application>WPS Office_11.8.2.12275_F1E327BC-269C-435d-A152-05C5408002CA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2019-02-15T06:26:00Z</dcterms:created>
  <dc:creator>lhn</dc:creator>
  <cp:lastModifiedBy>user</cp:lastModifiedBy>
  <cp:lastPrinted>2021-02-04T12:58:00Z</cp:lastPrinted>
  <dcterms:modified xsi:type="dcterms:W3CDTF">2026-07-07T14:51:25Z</dcterms:modified>
  <dc:title>财政支出绩效评价报告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2052-11.8.2.12275</vt:lpwstr>
  </property>
  <property fmtid="{D5CDD505-2E9C-101B-9397-08002B2CF9AE}" pid="3" name="ICV">
    <vt:lpwstr>2B5D1D054EC2499A8AE6886237CDC4FB</vt:lpwstr>
  </property>
</Properties>
</file>