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阳山县小水电生态流量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复核简要说明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与问题答疑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leftChars="0" w:firstLine="562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计算方法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《广东省小水电生态流量核定、泄放及监控设施建设技术指南（试行）》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中“为保证同一条河流上计算方法的统一性，结合河流的重要程度，在省管、市管及县管河流上的小水电站，应取多年平均流量的10%和90%保证率最枯月平均流量法两种计算方法中的大值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；其余河流上的小水电站，由各地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结合河道实际情况，自行选择上述两种方法的其中一种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”的文件规定，因此，对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取水闸坝在市管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连江河阳山段）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、县管河流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青莲水、七拱河、黄坌河、同灌河、庙公坑河、钟鼓水、桃花水）</w:t>
      </w:r>
      <w:r>
        <w:rPr>
          <w:rFonts w:hint="eastAsia" w:ascii="仿宋_GB2312" w:hAnsi="仿宋_GB2312" w:eastAsia="仿宋_GB2312" w:cs="仿宋_GB231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小水电站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的生态流量值计算方法为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，取多年平均流量的10%和90%保证率最枯月平均流量法两种计算方法中的大值；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取水闸坝在其余河流上的小水电站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的生态流量值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，取多年平均流量的10%。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详细计算公式如下：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多年平均流量法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多年平均流量计算公式：</w:t>
      </w:r>
      <m:oMath>
        <m:r>
          <m:rPr/>
          <w:rPr>
            <w:rFonts w:hint="eastAsia" w:ascii="Cambria Math" w:hAnsi="Cambria Math" w:eastAsia="仿宋_GB2312" w:cs="仿宋_GB2312"/>
            <w:sz w:val="32"/>
            <w:szCs w:val="32"/>
          </w:rPr>
          <m:t>Q=</m:t>
        </m:r>
        <m:f>
          <m:fPr>
            <m:ctrlPr>
              <w:rPr>
                <w:rFonts w:hint="eastAsia" w:ascii="Cambria Math" w:hAnsi="Cambria Math" w:eastAsia="仿宋_GB2312" w:cs="仿宋_GB2312"/>
                <w:i/>
                <w:sz w:val="32"/>
                <w:szCs w:val="32"/>
              </w:rPr>
            </m:ctrlPr>
          </m:fPr>
          <m:num>
            <m:r>
              <m:rPr/>
              <w:rPr>
                <w:rFonts w:hint="eastAsia" w:ascii="Cambria Math" w:hAnsi="Cambria Math" w:eastAsia="仿宋_GB2312" w:cs="仿宋_GB2312"/>
                <w:sz w:val="32"/>
                <w:szCs w:val="32"/>
              </w:rPr>
              <m:t>1000Fℎ</m:t>
            </m:r>
            <m:ctrlPr>
              <w:rPr>
                <w:rFonts w:hint="eastAsia" w:ascii="Cambria Math" w:hAnsi="Cambria Math" w:eastAsia="仿宋_GB2312" w:cs="仿宋_GB2312"/>
                <w:i/>
                <w:sz w:val="32"/>
                <w:szCs w:val="32"/>
              </w:rPr>
            </m:ctrlPr>
          </m:num>
          <m:den>
            <m:r>
              <m:rPr/>
              <w:rPr>
                <w:rFonts w:hint="eastAsia" w:ascii="Cambria Math" w:hAnsi="Cambria Math" w:eastAsia="仿宋_GB2312" w:cs="仿宋_GB2312"/>
                <w:sz w:val="32"/>
                <w:szCs w:val="32"/>
              </w:rPr>
              <m:t>T</m:t>
            </m:r>
            <m:ctrlPr>
              <w:rPr>
                <w:rFonts w:hint="eastAsia" w:ascii="Cambria Math" w:hAnsi="Cambria Math" w:eastAsia="仿宋_GB2312" w:cs="仿宋_GB2312"/>
                <w:i/>
                <w:sz w:val="32"/>
                <w:szCs w:val="32"/>
              </w:rPr>
            </m:ctrlPr>
          </m:den>
        </m:f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式中：</w:t>
      </w:r>
      <m:oMath>
        <m:r>
          <m:rPr/>
          <w:rPr>
            <w:rFonts w:hint="eastAsia" w:ascii="Cambria Math" w:hAnsi="Cambria Math" w:eastAsia="仿宋_GB2312" w:cs="仿宋_GB2312"/>
            <w:sz w:val="32"/>
            <w:szCs w:val="32"/>
          </w:rPr>
          <m:t>Q</m:t>
        </m:r>
      </m:oMath>
      <w:r>
        <w:rPr>
          <w:rFonts w:hint="eastAsia" w:ascii="仿宋_GB2312" w:hAnsi="仿宋_GB2312" w:eastAsia="仿宋_GB2312" w:cs="仿宋_GB2312"/>
          <w:sz w:val="32"/>
          <w:szCs w:val="32"/>
        </w:rPr>
        <w:t>——多年平均流量，m³/s；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m:oMath>
        <m:r>
          <m:rPr/>
          <w:rPr>
            <w:rFonts w:hint="eastAsia" w:ascii="Cambria Math" w:hAnsi="Cambria Math" w:eastAsia="仿宋_GB2312" w:cs="仿宋_GB2312"/>
            <w:sz w:val="32"/>
            <w:szCs w:val="32"/>
          </w:rPr>
          <m:t>F</m:t>
        </m:r>
      </m:oMath>
      <w:r>
        <w:rPr>
          <w:rFonts w:hint="eastAsia" w:ascii="仿宋_GB2312" w:hAnsi="仿宋_GB2312" w:eastAsia="仿宋_GB2312" w:cs="仿宋_GB2312"/>
          <w:sz w:val="32"/>
          <w:szCs w:val="32"/>
        </w:rPr>
        <w:t>——电站坝址处集雨面积，km²；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m:oMath>
        <m:r>
          <m:rPr/>
          <w:rPr>
            <w:rFonts w:hint="eastAsia" w:ascii="Cambria Math" w:hAnsi="Cambria Math" w:eastAsia="仿宋_GB2312" w:cs="仿宋_GB2312"/>
            <w:sz w:val="32"/>
            <w:szCs w:val="32"/>
          </w:rPr>
          <m:t>ℎ</m:t>
        </m:r>
      </m:oMath>
      <w:r>
        <w:rPr>
          <w:rFonts w:hint="eastAsia" w:ascii="仿宋_GB2312" w:hAnsi="仿宋_GB2312" w:eastAsia="仿宋_GB2312" w:cs="仿宋_GB2312"/>
          <w:sz w:val="32"/>
          <w:szCs w:val="32"/>
        </w:rPr>
        <w:t>——多年平均径流深，mm；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i/>
          <w:sz w:val="32"/>
          <w:szCs w:val="32"/>
        </w:rPr>
      </w:pPr>
      <m:oMath>
        <m:r>
          <m:rPr/>
          <w:rPr>
            <w:rFonts w:hint="eastAsia" w:ascii="Cambria Math" w:hAnsi="Cambria Math" w:eastAsia="仿宋_GB2312" w:cs="仿宋_GB2312"/>
            <w:sz w:val="32"/>
            <w:szCs w:val="32"/>
          </w:rPr>
          <m:t>T</m:t>
        </m:r>
      </m:oMath>
      <w:r>
        <w:rPr>
          <w:rFonts w:hint="eastAsia" w:ascii="仿宋_GB2312" w:hAnsi="仿宋_GB2312" w:eastAsia="仿宋_GB2312" w:cs="仿宋_GB2312"/>
          <w:i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iCs/>
          <w:sz w:val="32"/>
          <w:szCs w:val="32"/>
        </w:rPr>
        <w:t>时间，s，1年=365*24*3600秒。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m:oMath>
        <m:r>
          <m:rPr/>
          <w:rPr>
            <w:rFonts w:hint="default" w:ascii="Cambria Math" w:hAnsi="Cambria Math" w:eastAsia="仿宋_GB2312" w:cs="仿宋_GB2312"/>
            <w:sz w:val="32"/>
            <w:szCs w:val="32"/>
          </w:rPr>
          <m:t>F</m:t>
        </m:r>
      </m:oMath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——电站坝址处集雨面积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《广东省小水电生态流量核定、泄放及监控设施建设技术指南（试行）》文件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小水电站生态流量核定断面为取水闸坝河道断面。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取水闸坝</w:t>
      </w:r>
      <w:r>
        <w:rPr>
          <w:rFonts w:hint="eastAsia" w:ascii="仿宋_GB2312" w:hAnsi="仿宋_GB2312" w:eastAsia="仿宋_GB2312" w:cs="仿宋_GB2312"/>
          <w:sz w:val="32"/>
          <w:szCs w:val="32"/>
        </w:rPr>
        <w:t>集雨面积根据万分之一或五万分之一地形图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再对比收集到的各电站安全鉴定资料中登记的闸坝处河道集雨面积。若本次核算与登记的集雨面积接近，对于多闸坝电站，集雨面积原则上采用本次核算成果，对于单闸坝电站，集雨面积原则上采用登记成果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本次核算与登记的集雨面积相差较大，检查本次核定的集雨面积，且分析登记的集雨面积，发现部分电站登记的集雨面积存在明显错误（如同一条河流上下游有多个取水闸坝，发现部分电站登记的集雨面积为两座闸坝间的区间集雨面积，而非闸坝上游全部集雨面积），确定本息核定的集雨面积无误后，原则上采用本次核算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对于多闸坝电站，将其全部闸坝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集雨面积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之和作为电站的总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集雨面积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，将其全部闸坝生态流量之和作为电站的总生态流量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m:oMath>
        <m:r>
          <m:rPr/>
          <w:rPr>
            <w:rFonts w:hint="default" w:ascii="Cambria Math" w:hAnsi="Cambria Math" w:eastAsia="仿宋_GB2312" w:cs="仿宋_GB2312"/>
            <w:sz w:val="32"/>
            <w:szCs w:val="32"/>
          </w:rPr>
          <m:t>ℎ</m:t>
        </m:r>
      </m:oMath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——多年平均径流深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多年平均径流深采用《阳山县水资源利用规划》成果，并结合《广东省暴雨径流等值线图》进行验证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确定多年平均径流深成果无误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同一流域采用相同的</w:t>
      </w:r>
      <w:r>
        <w:rPr>
          <w:rFonts w:hint="eastAsia" w:ascii="仿宋_GB2312" w:hAnsi="仿宋_GB2312" w:eastAsia="仿宋_GB2312" w:cs="仿宋_GB2312"/>
          <w:sz w:val="32"/>
          <w:szCs w:val="32"/>
        </w:rPr>
        <w:t>多年平均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径流深值。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（二）.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90%保证率最枯月平均流量法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阳山县小水电附近流域主要水文站为同灌河上的黄麖塘水文站，该站作为依据站。收集有黄麖塘站（1956～2005）逐月降雨量（单位：mm）和逐月平均流量（单位：m³/s）系列资料。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以黄麖塘水文站降雨量和流量资料为依据，采用水文比拟法计算电站90%最枯月平均流量，计算涉及对黄麖塘水文站降雨量、流量系列进行排频，P-III型曲线进行拟合等过程，较为复杂。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leftChars="0" w:firstLine="562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堰闸开度或管径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省水利厅同意无泄放任务的取水闸坝，本次对小水电站其余所有取水闸坝生态流量进行了核定。对于多闸坝电站，将其全部闸坝生态流量之和作为电站的总生态流量，流量泄放设施集中在一处设置，采用电站总生态流量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省小水电生态流量监管平台上登记的</w:t>
      </w:r>
      <w:r>
        <w:rPr>
          <w:rFonts w:hint="eastAsia" w:ascii="仿宋_GB2312" w:hAnsi="仿宋_GB2312" w:eastAsia="仿宋_GB2312" w:cs="仿宋_GB2312"/>
          <w:sz w:val="32"/>
          <w:szCs w:val="32"/>
        </w:rPr>
        <w:t>电站现状流量泄放设施情况，进一步核定用于生态流量泄放的堰闸开度或管径。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若小水电生态流量监管平台上登记的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电站现状流量泄放设施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为堰闸，则核算堰闸开度；若小水电生态流量监管平台上登记的</w:t>
      </w:r>
      <w:r>
        <w:rPr>
          <w:rFonts w:hint="eastAsia" w:ascii="仿宋_GB2312" w:hAnsi="仿宋_GB2312" w:eastAsia="仿宋_GB2312" w:cs="仿宋_GB2312"/>
          <w:sz w:val="32"/>
          <w:szCs w:val="32"/>
        </w:rPr>
        <w:t>电站现状流量泄放设施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为管道，则核算管径。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8" w:leftChars="0" w:firstLine="562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泄放规定或原则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1.电站闸坝或引水渠道有灌溉、供水等重要民生保障功能的，其生态流量仍为本次核定值。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2.位于供水、灌溉等引水渠道上利用供水、灌溉用水发电的小水电站不进行生态流量核定与泄放。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3.有灌溉、供水等重要民生保障功能，但不是位于供水、灌溉等引水渠道上利用供水、灌溉用水发的小水电站，其闸坝处的来水优先保障供水、灌溉需求，其次考虑生态流量泄放，最后考虑发电。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（1）闸坝来水无法满足供水、灌溉需求时，小水电站可不泄放生态流量，同时停止发电。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（2）闸坝来水满足供水、灌溉需求后，小水电站先保障生态流量泄放，同时停止发电。如小水电站按照来水流量应放尽放，仍不能满足生态流量泄放核定值，可以申请差别化评定管理。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（3）闸坝来水满足供水、灌溉需求，生态流量达标泄放，小水电站方可发电。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核定集雨面积、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多年平均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径流深值、复核生态流量值、满足复核生态流量核定值的泄放设施最小闸门开度/管径（m）等数据详见阳山县小水电生态流量核定计算表。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baseline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四、问题答疑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（1）.无厂坝间河道（或河床式、坝后式）的电站，是否需要核定与泄放生态流量？无脱水河段的电站是否需要核定与泄放生态流量？无调节能力的电站是否需要核定与泄放生态流量？ 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答：都需要，泄放生态流量不仅要解决河道减脱水的问题，还承担着增加坝（闸）下游水域面积和流动性，恢复河流连通性的任务。</w:t>
      </w:r>
    </w:p>
    <w:p>
      <w:pPr>
        <w:pStyle w:val="2"/>
        <w:keepNext w:val="0"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（2）.同一条河流上的梯级电站，是否第一个梯级电站才有泄放需求，其他梯级无需要核定与泄放生态流量？</w:t>
      </w:r>
    </w:p>
    <w:p>
      <w:pPr>
        <w:pStyle w:val="2"/>
        <w:keepNext w:val="0"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答：不是的，对于位于同一条河流上的梯级电站，只要每个电站具有自己的拦河建筑物，均需要独立核定与泄放生态流量。</w:t>
      </w:r>
    </w:p>
    <w:p>
      <w:pPr>
        <w:pStyle w:val="2"/>
        <w:keepNext w:val="0"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（3）.电站具有综合利用功能，承载着防汛、供水、灌溉等任务，是否需要核定与泄放生态流量？</w:t>
      </w:r>
    </w:p>
    <w:p>
      <w:pPr>
        <w:pStyle w:val="2"/>
        <w:keepNext w:val="0"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答：需要的，按照法律法规的相关规定，防汛抗旱、供水、灌溉功能需要优先保障，但此类电站要求在统筹好这些综合利用功能的前提下，开展生态调度运行。</w:t>
      </w:r>
    </w:p>
    <w:p>
      <w:pPr>
        <w:keepNext w:val="0"/>
        <w:keepLines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4）.在电站上游存在别的取水口（比如存在灌区，河道内部分水量被灌区引走；或存在水厂取水口；或被另外的电站引去别的河流），到达电站坝址处的实际来水量减少时，核定生态流量时是否应该相应核减引走的水量？电站上游存在输水工程，从别的河流引水到本河流，到达电站坝址处的实际来水量比天然状态下的来水量大，核定生态流量时是否应该相应核增加输入的水量？ 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不应该核减或核增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。应按坝址处天然来水量进行核定。一是因为从生态流量本身的内涵考虑，这是河道在天然状态下需要的最低水量，不受别的引水工程或输水工程的 影响；二是本次技术指引提出的2种计算方法，对水文气象数据的要求也是要还原成天然来水量之后再进行计算。以上两种工况下，均应按电站坝址以上天然的集雨面积进行计 算来水量。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（5）.在特枯年份或正常年份的枯水期，水电站上游来水流量小于规定应下泄的生态流量的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情况比较普遍，河道存在天然减脱水，如何满足生态流量泄放需求？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答：《广东省水利厅 广东省生态环境厅 转发水利部办公厅 生态环境部办公厅关于调整水电〔2019〕241号文件适用范围的通知》（粤水农水农电〔2020〕14号）》文中明确规定“当小水电站取水处的天然来水小于或等于生态流量时，天然来水流量应当全部泄放；当来水量小于生态流量与最小引水发电流量之和时，优先保障生态流量，必要时还应当停止发电”。根据《广东省小水电站生态流量监督管理办法（试行）》（粤水农水农电〔2023〕12号），由于客观原因，上游来水流量小于小水电站生态流量核定值，并已按来水流量泄放的，可申请差别化评定管理，对相应时段不作为生态流量评定要求。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（6）对于坝后式或河床式电站，电站的发电尾水能否当做生态流量？发电时段的尾水量满足了一天的生态流量要求，不发电的时候是否仍需泄放？</w:t>
      </w:r>
    </w:p>
    <w:p>
      <w:pPr>
        <w:keepNext w:val="0"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对于无厂坝间河道的坝后式或河床式电站，其发电尾水可视为生态流量，在电站进行发电的时段，当其发电尾水量大于核定的生态流量时，无需另行泄放；但在不发电的时段，即使已在发电的时段，从水量上计算已达到全天生态流量要求泄放的总水量，但仍需要进行泄放，因为《广东省小水电站生态流量核定、泄放及监测监控设施建设技术指引（试行）的通知（粤水农水农电〔2021〕12号）》中规定生态流量应连续泄放。</w:t>
      </w:r>
    </w:p>
    <w:p>
      <w:pPr>
        <w:pStyle w:val="2"/>
        <w:keepNext w:val="0"/>
        <w:keepLines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（7）.生态流量核定时，对直接采用多年平均流量10%的小水电站，能否直接引用电站原可研报告、初始报告中的多年平均流量数值？</w:t>
      </w:r>
    </w:p>
    <w:p>
      <w:pPr>
        <w:pStyle w:val="2"/>
        <w:keepNext w:val="0"/>
        <w:keepLines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答：由于我省的小水电站建站年代一般较早，原建站时可研或初设报告中的多年平均流量采用的水文系列较早，建议本次根据收集到的最新的资料进行复核确定。</w:t>
      </w:r>
    </w:p>
    <w:p>
      <w:pPr>
        <w:keepNext w:val="0"/>
        <w:keepLines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（8）之前小水电主管部门或电站业主根据小水电坝址处多年平均流量的10%，已计算过生态流量，本次能否直接采用？</w:t>
      </w:r>
    </w:p>
    <w:p>
      <w:pPr>
        <w:keepNext w:val="0"/>
        <w:keepLines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答：不可以，由于问题中的这些电站的生态流量虽然开展了计算，但并未进行正式的印发或批复，因此本次应按最新的技术指引重新进行核定。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5FAE7"/>
    <w:multiLevelType w:val="singleLevel"/>
    <w:tmpl w:val="AF25FAE7"/>
    <w:lvl w:ilvl="0" w:tentative="0">
      <w:start w:val="1"/>
      <w:numFmt w:val="chineseCounting"/>
      <w:suff w:val="nothing"/>
      <w:lvlText w:val="%1、"/>
      <w:lvlJc w:val="left"/>
      <w:pPr>
        <w:ind w:left="68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09"/>
    <w:rsid w:val="00003A09"/>
    <w:rsid w:val="0016668F"/>
    <w:rsid w:val="001A36A3"/>
    <w:rsid w:val="001C4699"/>
    <w:rsid w:val="002E759F"/>
    <w:rsid w:val="00377EB2"/>
    <w:rsid w:val="00393EBC"/>
    <w:rsid w:val="00473A00"/>
    <w:rsid w:val="00486472"/>
    <w:rsid w:val="00503F7C"/>
    <w:rsid w:val="006C641C"/>
    <w:rsid w:val="00736D47"/>
    <w:rsid w:val="00822879"/>
    <w:rsid w:val="00853D71"/>
    <w:rsid w:val="009D5E1C"/>
    <w:rsid w:val="00AC2CDD"/>
    <w:rsid w:val="00AC7DBD"/>
    <w:rsid w:val="00B129CF"/>
    <w:rsid w:val="00C516A1"/>
    <w:rsid w:val="00D12A95"/>
    <w:rsid w:val="00D8437B"/>
    <w:rsid w:val="00ED1FDB"/>
    <w:rsid w:val="00ED7615"/>
    <w:rsid w:val="00F85BC6"/>
    <w:rsid w:val="04C17B40"/>
    <w:rsid w:val="05177476"/>
    <w:rsid w:val="0BC035E5"/>
    <w:rsid w:val="0C11553A"/>
    <w:rsid w:val="0CEA1D01"/>
    <w:rsid w:val="0EB416BF"/>
    <w:rsid w:val="105D2847"/>
    <w:rsid w:val="11362412"/>
    <w:rsid w:val="12DE174A"/>
    <w:rsid w:val="158E7A45"/>
    <w:rsid w:val="15BA71D1"/>
    <w:rsid w:val="15E63EFA"/>
    <w:rsid w:val="19683FBD"/>
    <w:rsid w:val="1B47475E"/>
    <w:rsid w:val="1CA728C8"/>
    <w:rsid w:val="1D562D94"/>
    <w:rsid w:val="1DAD02D3"/>
    <w:rsid w:val="21404409"/>
    <w:rsid w:val="248E1456"/>
    <w:rsid w:val="277B0138"/>
    <w:rsid w:val="27E96CDA"/>
    <w:rsid w:val="28D23EB9"/>
    <w:rsid w:val="2932686F"/>
    <w:rsid w:val="2ABD629D"/>
    <w:rsid w:val="2B17648A"/>
    <w:rsid w:val="2C8D3D5E"/>
    <w:rsid w:val="2C9F02F6"/>
    <w:rsid w:val="2D0C4BDB"/>
    <w:rsid w:val="2DE955A4"/>
    <w:rsid w:val="2E6668AF"/>
    <w:rsid w:val="34CB114A"/>
    <w:rsid w:val="39741BC7"/>
    <w:rsid w:val="3B9C3AF4"/>
    <w:rsid w:val="3E18436C"/>
    <w:rsid w:val="42DF0DC2"/>
    <w:rsid w:val="450E7246"/>
    <w:rsid w:val="478F5AD7"/>
    <w:rsid w:val="483D4A92"/>
    <w:rsid w:val="49A408F8"/>
    <w:rsid w:val="49BD49FD"/>
    <w:rsid w:val="4C174614"/>
    <w:rsid w:val="4C9F79B5"/>
    <w:rsid w:val="4DA354F0"/>
    <w:rsid w:val="4FD70497"/>
    <w:rsid w:val="52CB4C33"/>
    <w:rsid w:val="533F1322"/>
    <w:rsid w:val="55622F8F"/>
    <w:rsid w:val="56AD207D"/>
    <w:rsid w:val="5AC74BE9"/>
    <w:rsid w:val="5C8935D8"/>
    <w:rsid w:val="5CF01708"/>
    <w:rsid w:val="5F363573"/>
    <w:rsid w:val="60F07E93"/>
    <w:rsid w:val="639F18DC"/>
    <w:rsid w:val="66477750"/>
    <w:rsid w:val="66F71303"/>
    <w:rsid w:val="6B13445D"/>
    <w:rsid w:val="6B276DE4"/>
    <w:rsid w:val="6C253FDA"/>
    <w:rsid w:val="6C393CA9"/>
    <w:rsid w:val="6C584FDE"/>
    <w:rsid w:val="6E7E3F30"/>
    <w:rsid w:val="6EB54337"/>
    <w:rsid w:val="752B3A1E"/>
    <w:rsid w:val="771C4DF6"/>
    <w:rsid w:val="7A6973C1"/>
    <w:rsid w:val="7B40233E"/>
    <w:rsid w:val="7C75463E"/>
    <w:rsid w:val="7D011CA4"/>
    <w:rsid w:val="7E9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0"/>
      <w:sz w:val="27"/>
      <w:szCs w:val="27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laceholder Text"/>
    <w:basedOn w:val="5"/>
    <w:unhideWhenUsed/>
    <w:qFormat/>
    <w:uiPriority w:val="99"/>
    <w:rPr>
      <w:color w:val="666666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3535</Words>
  <Characters>3621</Characters>
  <Lines>34</Lines>
  <Paragraphs>38</Paragraphs>
  <TotalTime>133</TotalTime>
  <ScaleCrop>false</ScaleCrop>
  <LinksUpToDate>false</LinksUpToDate>
  <CharactersWithSpaces>3629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2026-02-05T08:22:00Z</dcterms:created>
  <dc:creator>wmj</dc:creator>
  <cp:lastModifiedBy>范鹏科</cp:lastModifiedBy>
  <dcterms:modified xsi:type="dcterms:W3CDTF">2026-04-02T07:02:03Z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KSOTemplateDocerSaveRecord">
    <vt:lpwstr>eyJoZGlkIjoiM2YyMTI3YWZiYjQ4ZGVkNzg4MDA3MTc1NTFhYTYzNDciLCJ1c2VySWQiOiI0NTc3NDQ2NzkifQ==</vt:lpwstr>
  </property>
  <property fmtid="{D5CDD505-2E9C-101B-9397-08002B2CF9AE}" pid="4" name="ICV">
    <vt:lpwstr>02A50D9BA2DA45CFBFD83DFB7AF6A47D_13</vt:lpwstr>
  </property>
</Properties>
</file>