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827C1C">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400" w:firstLineChars="200"/>
        <w:textAlignment w:val="auto"/>
        <w:rPr>
          <w:rFonts w:hint="default" w:ascii="Times New Roman" w:eastAsia="宋体"/>
          <w:sz w:val="20"/>
          <w:lang w:val="en-US" w:eastAsia="zh-CN"/>
        </w:rPr>
      </w:pPr>
    </w:p>
    <w:p w14:paraId="02A39295">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400" w:firstLineChars="200"/>
        <w:textAlignment w:val="auto"/>
        <w:rPr>
          <w:rFonts w:ascii="Times New Roman"/>
          <w:sz w:val="20"/>
        </w:rPr>
      </w:pPr>
    </w:p>
    <w:p w14:paraId="6AD442E7">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400" w:firstLineChars="200"/>
        <w:textAlignment w:val="auto"/>
        <w:rPr>
          <w:rFonts w:ascii="Times New Roman"/>
          <w:sz w:val="20"/>
        </w:rPr>
      </w:pPr>
    </w:p>
    <w:p w14:paraId="4EB5F79A">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400" w:firstLineChars="200"/>
        <w:textAlignment w:val="auto"/>
        <w:rPr>
          <w:rFonts w:ascii="Times New Roman"/>
          <w:sz w:val="20"/>
        </w:rPr>
      </w:pPr>
    </w:p>
    <w:p w14:paraId="2FD982C1">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400" w:firstLineChars="200"/>
        <w:textAlignment w:val="auto"/>
        <w:rPr>
          <w:rFonts w:ascii="Times New Roman"/>
          <w:sz w:val="20"/>
        </w:rPr>
      </w:pPr>
    </w:p>
    <w:p w14:paraId="62650B8B">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400" w:firstLineChars="200"/>
        <w:textAlignment w:val="auto"/>
        <w:rPr>
          <w:rFonts w:ascii="Times New Roman"/>
          <w:sz w:val="20"/>
        </w:rPr>
      </w:pPr>
    </w:p>
    <w:p w14:paraId="13F3C0AE">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400" w:firstLineChars="200"/>
        <w:textAlignment w:val="auto"/>
        <w:rPr>
          <w:rFonts w:ascii="Times New Roman"/>
          <w:sz w:val="20"/>
        </w:rPr>
      </w:pPr>
    </w:p>
    <w:p w14:paraId="2D6B48ED">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400" w:firstLineChars="200"/>
        <w:textAlignment w:val="auto"/>
        <w:rPr>
          <w:rFonts w:ascii="Times New Roman"/>
          <w:sz w:val="20"/>
        </w:rPr>
      </w:pPr>
    </w:p>
    <w:p w14:paraId="2DDF0527">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964" w:firstLineChars="200"/>
        <w:jc w:val="center"/>
        <w:textAlignment w:val="auto"/>
        <w:rPr>
          <w:b/>
          <w:sz w:val="40"/>
        </w:rPr>
      </w:pPr>
      <w:r>
        <w:rPr>
          <w:rFonts w:hint="eastAsia"/>
          <w:b/>
          <w:sz w:val="48"/>
        </w:rPr>
        <w:t>阳山县“通则式”村庄规划管理规定</w:t>
      </w:r>
    </w:p>
    <w:p w14:paraId="51562C9D">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jc w:val="center"/>
        <w:textAlignment w:val="auto"/>
        <w:rPr>
          <w:rFonts w:hint="eastAsia" w:eastAsia="宋体"/>
          <w:b/>
          <w:sz w:val="40"/>
          <w:lang w:eastAsia="zh-CN"/>
        </w:rPr>
      </w:pPr>
      <w:r>
        <w:rPr>
          <w:rFonts w:hint="eastAsia"/>
          <w:b/>
          <w:sz w:val="40"/>
          <w:lang w:eastAsia="zh-CN"/>
        </w:rPr>
        <w:t>（</w:t>
      </w:r>
      <w:r>
        <w:rPr>
          <w:rFonts w:hint="eastAsia"/>
          <w:b/>
          <w:sz w:val="40"/>
          <w:lang w:val="en-US" w:eastAsia="zh-CN"/>
        </w:rPr>
        <w:t>初稿</w:t>
      </w:r>
      <w:r>
        <w:rPr>
          <w:rFonts w:hint="eastAsia"/>
          <w:b/>
          <w:sz w:val="40"/>
          <w:lang w:eastAsia="zh-CN"/>
        </w:rPr>
        <w:t>）</w:t>
      </w:r>
    </w:p>
    <w:p w14:paraId="37508FDF">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25D1E79D">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3CCE68ED">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324F0E2E">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59454F82">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5D05CAF0">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20AF0583">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5D0A0278">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566037B6">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803" w:firstLineChars="200"/>
        <w:textAlignment w:val="auto"/>
        <w:rPr>
          <w:b/>
          <w:sz w:val="40"/>
        </w:rPr>
      </w:pPr>
    </w:p>
    <w:p w14:paraId="032ED04B">
      <w:pPr>
        <w:pStyle w:val="7"/>
        <w:keepNext w:val="0"/>
        <w:keepLines w:val="0"/>
        <w:pageBreakBefore w:val="0"/>
        <w:widowControl w:val="0"/>
        <w:kinsoku/>
        <w:wordWrap/>
        <w:overflowPunct/>
        <w:topLinePunct w:val="0"/>
        <w:bidi w:val="0"/>
        <w:adjustRightInd/>
        <w:snapToGrid/>
        <w:spacing w:before="0" w:after="0" w:line="360" w:lineRule="auto"/>
        <w:ind w:left="0" w:leftChars="0" w:right="0" w:rightChars="0" w:firstLine="562" w:firstLineChars="200"/>
        <w:textAlignment w:val="auto"/>
        <w:rPr>
          <w:b/>
          <w:sz w:val="28"/>
          <w:szCs w:val="28"/>
        </w:rPr>
      </w:pPr>
    </w:p>
    <w:p w14:paraId="0C3E8746">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560" w:firstLineChars="200"/>
        <w:jc w:val="center"/>
        <w:textAlignment w:val="auto"/>
        <w:outlineLvl w:val="9"/>
        <w:rPr>
          <w:rFonts w:hint="eastAsia"/>
          <w:sz w:val="28"/>
          <w:szCs w:val="28"/>
        </w:rPr>
      </w:pPr>
      <w:r>
        <w:rPr>
          <w:rFonts w:hint="eastAsia"/>
          <w:sz w:val="28"/>
          <w:szCs w:val="28"/>
          <w:lang w:val="en-US" w:eastAsia="zh-CN"/>
        </w:rPr>
        <w:t>阳山</w:t>
      </w:r>
      <w:r>
        <w:rPr>
          <w:rFonts w:hint="eastAsia"/>
          <w:sz w:val="28"/>
          <w:szCs w:val="28"/>
        </w:rPr>
        <w:t>县自然资源局</w:t>
      </w:r>
    </w:p>
    <w:p w14:paraId="52C3168A">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560" w:firstLineChars="200"/>
        <w:jc w:val="center"/>
        <w:textAlignment w:val="auto"/>
        <w:outlineLvl w:val="9"/>
        <w:rPr>
          <w:sz w:val="28"/>
          <w:szCs w:val="28"/>
        </w:rPr>
      </w:pPr>
      <w:r>
        <w:rPr>
          <w:sz w:val="28"/>
          <w:szCs w:val="28"/>
        </w:rPr>
        <w:t>二〇二</w:t>
      </w:r>
      <w:r>
        <w:rPr>
          <w:rFonts w:hint="eastAsia"/>
          <w:sz w:val="28"/>
          <w:szCs w:val="28"/>
          <w:lang w:val="en-US" w:eastAsia="zh-CN"/>
        </w:rPr>
        <w:t>五</w:t>
      </w:r>
      <w:r>
        <w:rPr>
          <w:sz w:val="28"/>
          <w:szCs w:val="28"/>
        </w:rPr>
        <w:t>年</w:t>
      </w:r>
      <w:r>
        <w:rPr>
          <w:rFonts w:hint="eastAsia"/>
          <w:sz w:val="28"/>
          <w:szCs w:val="28"/>
          <w:lang w:val="en-US" w:eastAsia="zh-CN"/>
        </w:rPr>
        <w:t>八</w:t>
      </w:r>
      <w:r>
        <w:rPr>
          <w:sz w:val="28"/>
          <w:szCs w:val="28"/>
        </w:rPr>
        <w:t>月</w:t>
      </w:r>
    </w:p>
    <w:p w14:paraId="3047AE50">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440" w:firstLineChars="200"/>
        <w:textAlignment w:val="auto"/>
        <w:sectPr>
          <w:type w:val="continuous"/>
          <w:pgSz w:w="11910" w:h="16840"/>
          <w:pgMar w:top="1361" w:right="1361" w:bottom="1361" w:left="1361" w:header="720" w:footer="720" w:gutter="0"/>
          <w:cols w:space="720" w:num="1"/>
        </w:sectPr>
      </w:pPr>
    </w:p>
    <w:p w14:paraId="0DF97F0B">
      <w:pPr>
        <w:pStyle w:val="6"/>
        <w:keepNext w:val="0"/>
        <w:keepLines w:val="0"/>
        <w:pageBreakBefore w:val="0"/>
        <w:widowControl w:val="0"/>
        <w:kinsoku/>
        <w:wordWrap/>
        <w:overflowPunct/>
        <w:topLinePunct w:val="0"/>
        <w:bidi w:val="0"/>
        <w:adjustRightInd/>
        <w:snapToGrid/>
        <w:spacing w:before="0" w:after="0" w:afterLines="0" w:line="360" w:lineRule="auto"/>
        <w:ind w:left="0" w:leftChars="0" w:right="0" w:rightChars="0" w:firstLine="0" w:firstLineChars="0"/>
        <w:textAlignment w:val="auto"/>
      </w:pPr>
    </w:p>
    <w:p w14:paraId="596E3054">
      <w:r>
        <w:br w:type="page"/>
      </w:r>
    </w:p>
    <w:p w14:paraId="5AB129B8">
      <w:r>
        <w:br w:type="page"/>
      </w:r>
    </w:p>
    <w:sdt>
      <w:sdtPr>
        <w:rPr>
          <w:rFonts w:ascii="宋体" w:hAnsi="宋体" w:eastAsia="宋体" w:cs="宋体"/>
          <w:sz w:val="21"/>
          <w:szCs w:val="22"/>
          <w:lang w:val="zh-CN" w:eastAsia="zh-CN" w:bidi="zh-CN"/>
        </w:rPr>
        <w:id w:val="147481471"/>
        <w15:color w:val="DBDBDB"/>
        <w:docPartObj>
          <w:docPartGallery w:val="Table of Contents"/>
          <w:docPartUnique/>
        </w:docPartObj>
      </w:sdtPr>
      <w:sdtEndPr>
        <w:rPr>
          <w:rFonts w:hint="eastAsia" w:ascii="宋体" w:hAnsi="宋体" w:eastAsia="宋体" w:cs="宋体"/>
          <w:sz w:val="24"/>
          <w:szCs w:val="24"/>
          <w:lang w:val="zh-CN" w:eastAsia="zh-CN" w:bidi="zh-CN"/>
        </w:rPr>
      </w:sdtEndPr>
      <w:sdtContent>
        <w:p w14:paraId="0E45A86A">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420" w:firstLineChars="200"/>
            <w:jc w:val="center"/>
            <w:textAlignment w:val="auto"/>
            <w:rPr>
              <w:b/>
              <w:bCs/>
              <w:sz w:val="30"/>
              <w:szCs w:val="30"/>
            </w:rPr>
          </w:pPr>
          <w:r>
            <w:rPr>
              <w:rFonts w:ascii="宋体" w:hAnsi="宋体" w:eastAsia="宋体"/>
              <w:b/>
              <w:bCs/>
              <w:sz w:val="30"/>
              <w:szCs w:val="30"/>
            </w:rPr>
            <w:t>目录</w:t>
          </w:r>
        </w:p>
        <w:p w14:paraId="63B1EB7E">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TOC \o "1-2" \h \u </w:instrText>
          </w:r>
          <w:r>
            <w:rPr>
              <w:rFonts w:hint="eastAsia" w:ascii="宋体" w:hAnsi="宋体" w:eastAsia="宋体" w:cs="宋体"/>
              <w:sz w:val="24"/>
              <w:szCs w:val="24"/>
            </w:rPr>
            <w:fldChar w:fldCharType="separate"/>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_Toc27316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第一章 总则</w:t>
          </w:r>
          <w:r>
            <w:rPr>
              <w:sz w:val="24"/>
              <w:szCs w:val="24"/>
            </w:rPr>
            <w:tab/>
          </w:r>
          <w:r>
            <w:rPr>
              <w:sz w:val="24"/>
              <w:szCs w:val="24"/>
            </w:rPr>
            <w:fldChar w:fldCharType="begin"/>
          </w:r>
          <w:r>
            <w:rPr>
              <w:sz w:val="24"/>
              <w:szCs w:val="24"/>
            </w:rPr>
            <w:instrText xml:space="preserve"> PAGEREF _Toc27316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14:paraId="2A948EEF">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_Toc10700 </w:instrText>
          </w:r>
          <w:r>
            <w:rPr>
              <w:rFonts w:hint="eastAsia" w:ascii="宋体" w:hAnsi="宋体" w:eastAsia="宋体" w:cs="宋体"/>
              <w:sz w:val="24"/>
              <w:szCs w:val="24"/>
            </w:rPr>
            <w:fldChar w:fldCharType="separate"/>
          </w:r>
          <w:r>
            <w:rPr>
              <w:rFonts w:hint="eastAsia" w:ascii="宋体" w:hAnsi="宋体" w:eastAsia="宋体" w:cs="宋体"/>
              <w:spacing w:val="-10"/>
              <w:sz w:val="24"/>
              <w:szCs w:val="24"/>
              <w:lang w:val="en-US" w:eastAsia="zh-CN" w:bidi="zh-CN"/>
            </w:rPr>
            <w:t xml:space="preserve">第一条 </w:t>
          </w:r>
          <w:r>
            <w:rPr>
              <w:rFonts w:hint="eastAsia" w:ascii="Times New Roman" w:hAnsi="Times New Roman" w:cs="Times New Roman"/>
              <w:sz w:val="24"/>
              <w:szCs w:val="24"/>
              <w:lang w:val="en-US" w:eastAsia="zh-CN" w:bidi="ar-SA"/>
            </w:rPr>
            <w:t>制定目的</w:t>
          </w:r>
          <w:r>
            <w:rPr>
              <w:sz w:val="24"/>
              <w:szCs w:val="24"/>
            </w:rPr>
            <w:tab/>
          </w:r>
          <w:r>
            <w:rPr>
              <w:sz w:val="24"/>
              <w:szCs w:val="24"/>
            </w:rPr>
            <w:fldChar w:fldCharType="begin"/>
          </w:r>
          <w:r>
            <w:rPr>
              <w:sz w:val="24"/>
              <w:szCs w:val="24"/>
            </w:rPr>
            <w:instrText xml:space="preserve"> PAGEREF _Toc10700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14:paraId="1253AB74">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_Toc6251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第二条 </w:t>
          </w:r>
          <w:r>
            <w:rPr>
              <w:rFonts w:hint="eastAsia" w:ascii="Times New Roman" w:hAnsi="Times New Roman" w:cs="Times New Roman"/>
              <w:sz w:val="24"/>
              <w:szCs w:val="24"/>
              <w:lang w:val="en-US" w:eastAsia="zh-CN" w:bidi="ar-SA"/>
            </w:rPr>
            <w:t>适用范围</w:t>
          </w:r>
          <w:r>
            <w:rPr>
              <w:sz w:val="24"/>
              <w:szCs w:val="24"/>
            </w:rPr>
            <w:tab/>
          </w:r>
          <w:r>
            <w:rPr>
              <w:sz w:val="24"/>
              <w:szCs w:val="24"/>
            </w:rPr>
            <w:fldChar w:fldCharType="begin"/>
          </w:r>
          <w:r>
            <w:rPr>
              <w:sz w:val="24"/>
              <w:szCs w:val="24"/>
            </w:rPr>
            <w:instrText xml:space="preserve"> PAGEREF _Toc6251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14:paraId="5684277D">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_Toc24837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第三条 </w:t>
          </w:r>
          <w:r>
            <w:rPr>
              <w:rFonts w:hint="eastAsia" w:ascii="Times New Roman" w:hAnsi="Times New Roman" w:cs="Times New Roman"/>
              <w:sz w:val="24"/>
              <w:szCs w:val="24"/>
              <w:lang w:val="en-US" w:eastAsia="zh-CN" w:bidi="ar-SA"/>
            </w:rPr>
            <w:t>适用情形</w:t>
          </w:r>
          <w:r>
            <w:rPr>
              <w:sz w:val="24"/>
              <w:szCs w:val="24"/>
            </w:rPr>
            <w:tab/>
          </w:r>
          <w:r>
            <w:rPr>
              <w:sz w:val="24"/>
              <w:szCs w:val="24"/>
            </w:rPr>
            <w:fldChar w:fldCharType="begin"/>
          </w:r>
          <w:r>
            <w:rPr>
              <w:sz w:val="24"/>
              <w:szCs w:val="24"/>
            </w:rPr>
            <w:instrText xml:space="preserve"> PAGEREF _Toc24837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14:paraId="0A98E617">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_Toc16706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第四条 </w:t>
          </w:r>
          <w:r>
            <w:rPr>
              <w:rFonts w:hint="eastAsia" w:ascii="Times New Roman" w:hAnsi="Times New Roman" w:cs="Times New Roman"/>
              <w:sz w:val="24"/>
              <w:szCs w:val="24"/>
              <w:lang w:val="en-US" w:eastAsia="zh-CN" w:bidi="ar-SA"/>
            </w:rPr>
            <w:t>编制原则</w:t>
          </w:r>
          <w:r>
            <w:rPr>
              <w:sz w:val="24"/>
              <w:szCs w:val="24"/>
            </w:rPr>
            <w:tab/>
          </w:r>
          <w:r>
            <w:rPr>
              <w:sz w:val="24"/>
              <w:szCs w:val="24"/>
            </w:rPr>
            <w:fldChar w:fldCharType="begin"/>
          </w:r>
          <w:r>
            <w:rPr>
              <w:sz w:val="24"/>
              <w:szCs w:val="24"/>
            </w:rPr>
            <w:instrText xml:space="preserve"> PAGEREF _Toc16706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sz w:val="24"/>
              <w:szCs w:val="24"/>
            </w:rPr>
            <w:fldChar w:fldCharType="end"/>
          </w:r>
        </w:p>
        <w:p w14:paraId="65A828A2">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_Toc19483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 xml:space="preserve">第二章 </w:t>
          </w:r>
          <w:r>
            <w:rPr>
              <w:rFonts w:hint="eastAsia" w:ascii="Calibri" w:hAnsi="Calibri" w:cs="Times New Roman"/>
              <w:kern w:val="2"/>
              <w:sz w:val="24"/>
              <w:szCs w:val="24"/>
              <w:lang w:val="en-US" w:eastAsia="zh-CN" w:bidi="ar-SA"/>
            </w:rPr>
            <w:t>底线管控</w:t>
          </w:r>
          <w:r>
            <w:rPr>
              <w:sz w:val="24"/>
              <w:szCs w:val="24"/>
            </w:rPr>
            <w:tab/>
          </w:r>
          <w:r>
            <w:rPr>
              <w:sz w:val="24"/>
              <w:szCs w:val="24"/>
            </w:rPr>
            <w:fldChar w:fldCharType="begin"/>
          </w:r>
          <w:r>
            <w:rPr>
              <w:sz w:val="24"/>
              <w:szCs w:val="24"/>
            </w:rPr>
            <w:instrText xml:space="preserve"> PAGEREF _Toc19483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sz w:val="24"/>
              <w:szCs w:val="24"/>
            </w:rPr>
            <w:fldChar w:fldCharType="end"/>
          </w:r>
        </w:p>
        <w:p w14:paraId="1A7AA6F4">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_Toc23506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第五条 </w:t>
          </w:r>
          <w:r>
            <w:rPr>
              <w:rFonts w:hint="eastAsia" w:ascii="Times New Roman" w:hAnsi="Times New Roman" w:cs="Times New Roman"/>
              <w:sz w:val="24"/>
              <w:szCs w:val="24"/>
              <w:lang w:val="en-US" w:eastAsia="zh-CN" w:bidi="ar-SA"/>
            </w:rPr>
            <w:t>耕地和永久基本农田</w:t>
          </w:r>
          <w:r>
            <w:rPr>
              <w:sz w:val="24"/>
              <w:szCs w:val="24"/>
            </w:rPr>
            <w:tab/>
          </w:r>
          <w:r>
            <w:rPr>
              <w:sz w:val="24"/>
              <w:szCs w:val="24"/>
            </w:rPr>
            <w:fldChar w:fldCharType="begin"/>
          </w:r>
          <w:r>
            <w:rPr>
              <w:sz w:val="24"/>
              <w:szCs w:val="24"/>
            </w:rPr>
            <w:instrText xml:space="preserve"> PAGEREF _Toc23506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sz w:val="24"/>
              <w:szCs w:val="24"/>
            </w:rPr>
            <w:fldChar w:fldCharType="end"/>
          </w:r>
        </w:p>
        <w:p w14:paraId="310CDD84">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_Toc17179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第六条 </w:t>
          </w:r>
          <w:r>
            <w:rPr>
              <w:rFonts w:hint="eastAsia" w:ascii="Times New Roman" w:hAnsi="Times New Roman" w:eastAsia="宋体" w:cs="Times New Roman"/>
              <w:sz w:val="24"/>
              <w:szCs w:val="24"/>
              <w:lang w:val="en-US" w:eastAsia="zh-CN" w:bidi="ar-SA"/>
            </w:rPr>
            <w:t>生态保护红线</w:t>
          </w:r>
          <w:r>
            <w:rPr>
              <w:sz w:val="24"/>
              <w:szCs w:val="24"/>
            </w:rPr>
            <w:tab/>
          </w:r>
          <w:r>
            <w:rPr>
              <w:sz w:val="24"/>
              <w:szCs w:val="24"/>
            </w:rPr>
            <w:fldChar w:fldCharType="begin"/>
          </w:r>
          <w:r>
            <w:rPr>
              <w:sz w:val="24"/>
              <w:szCs w:val="24"/>
            </w:rPr>
            <w:instrText xml:space="preserve"> PAGEREF _Toc17179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sz w:val="24"/>
              <w:szCs w:val="24"/>
            </w:rPr>
            <w:fldChar w:fldCharType="end"/>
          </w:r>
        </w:p>
        <w:p w14:paraId="2864F497">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_Toc5218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第七条 </w:t>
          </w:r>
          <w:r>
            <w:rPr>
              <w:rFonts w:hint="eastAsia" w:ascii="Times New Roman" w:hAnsi="Times New Roman" w:eastAsia="宋体" w:cs="Times New Roman"/>
              <w:sz w:val="24"/>
              <w:szCs w:val="24"/>
              <w:lang w:val="en-US" w:eastAsia="zh-CN" w:bidi="ar-SA"/>
            </w:rPr>
            <w:t>灾害风险控制线</w:t>
          </w:r>
          <w:r>
            <w:rPr>
              <w:sz w:val="24"/>
              <w:szCs w:val="24"/>
            </w:rPr>
            <w:tab/>
          </w:r>
          <w:r>
            <w:rPr>
              <w:sz w:val="24"/>
              <w:szCs w:val="24"/>
            </w:rPr>
            <w:fldChar w:fldCharType="begin"/>
          </w:r>
          <w:r>
            <w:rPr>
              <w:sz w:val="24"/>
              <w:szCs w:val="24"/>
            </w:rPr>
            <w:instrText xml:space="preserve"> PAGEREF _Toc5218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sz w:val="24"/>
              <w:szCs w:val="24"/>
            </w:rPr>
            <w:fldChar w:fldCharType="end"/>
          </w:r>
        </w:p>
        <w:p w14:paraId="5862B9C6">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_Toc27612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第八条 </w:t>
          </w:r>
          <w:r>
            <w:rPr>
              <w:rFonts w:hint="eastAsia" w:ascii="Times New Roman" w:hAnsi="Times New Roman" w:eastAsia="宋体" w:cs="Times New Roman"/>
              <w:sz w:val="24"/>
              <w:szCs w:val="24"/>
              <w:lang w:val="en-US" w:eastAsia="zh-CN" w:bidi="ar-SA"/>
            </w:rPr>
            <w:t>河湖管理范围线</w:t>
          </w:r>
          <w:r>
            <w:rPr>
              <w:sz w:val="24"/>
              <w:szCs w:val="24"/>
            </w:rPr>
            <w:tab/>
          </w:r>
          <w:r>
            <w:rPr>
              <w:sz w:val="24"/>
              <w:szCs w:val="24"/>
            </w:rPr>
            <w:fldChar w:fldCharType="begin"/>
          </w:r>
          <w:r>
            <w:rPr>
              <w:sz w:val="24"/>
              <w:szCs w:val="24"/>
            </w:rPr>
            <w:instrText xml:space="preserve"> PAGEREF _Toc27612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sz w:val="24"/>
              <w:szCs w:val="24"/>
            </w:rPr>
            <w:fldChar w:fldCharType="end"/>
          </w:r>
        </w:p>
        <w:p w14:paraId="67BDDA74">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_Toc8560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第九条 </w:t>
          </w:r>
          <w:r>
            <w:rPr>
              <w:rFonts w:hint="eastAsia" w:ascii="Times New Roman" w:hAnsi="Times New Roman" w:eastAsia="宋体" w:cs="Times New Roman"/>
              <w:sz w:val="24"/>
              <w:szCs w:val="24"/>
              <w:lang w:val="en-US" w:eastAsia="zh-CN" w:bidi="ar-SA"/>
            </w:rPr>
            <w:t>历史文化保护线</w:t>
          </w:r>
          <w:r>
            <w:rPr>
              <w:sz w:val="24"/>
              <w:szCs w:val="24"/>
            </w:rPr>
            <w:tab/>
          </w:r>
          <w:r>
            <w:rPr>
              <w:sz w:val="24"/>
              <w:szCs w:val="24"/>
            </w:rPr>
            <w:fldChar w:fldCharType="begin"/>
          </w:r>
          <w:r>
            <w:rPr>
              <w:sz w:val="24"/>
              <w:szCs w:val="24"/>
            </w:rPr>
            <w:instrText xml:space="preserve"> PAGEREF _Toc8560 \h </w:instrText>
          </w:r>
          <w:r>
            <w:rPr>
              <w:sz w:val="24"/>
              <w:szCs w:val="24"/>
            </w:rPr>
            <w:fldChar w:fldCharType="separate"/>
          </w:r>
          <w:r>
            <w:rPr>
              <w:sz w:val="24"/>
              <w:szCs w:val="24"/>
            </w:rPr>
            <w:t>3</w:t>
          </w:r>
          <w:r>
            <w:rPr>
              <w:sz w:val="24"/>
              <w:szCs w:val="24"/>
            </w:rPr>
            <w:fldChar w:fldCharType="end"/>
          </w:r>
          <w:r>
            <w:rPr>
              <w:rFonts w:hint="eastAsia" w:ascii="宋体" w:hAnsi="宋体" w:eastAsia="宋体" w:cs="宋体"/>
              <w:sz w:val="24"/>
              <w:szCs w:val="24"/>
            </w:rPr>
            <w:fldChar w:fldCharType="end"/>
          </w:r>
        </w:p>
        <w:p w14:paraId="00A161F9">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_Toc13018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第十条 </w:t>
          </w:r>
          <w:r>
            <w:rPr>
              <w:rFonts w:hint="eastAsia" w:ascii="Times New Roman" w:hAnsi="Times New Roman" w:eastAsia="宋体" w:cs="Times New Roman"/>
              <w:sz w:val="24"/>
              <w:szCs w:val="24"/>
              <w:lang w:val="en-US" w:eastAsia="zh-CN" w:bidi="ar-SA"/>
            </w:rPr>
            <w:t>村庄建设边界</w:t>
          </w:r>
          <w:r>
            <w:rPr>
              <w:sz w:val="24"/>
              <w:szCs w:val="24"/>
            </w:rPr>
            <w:tab/>
          </w:r>
          <w:r>
            <w:rPr>
              <w:sz w:val="24"/>
              <w:szCs w:val="24"/>
            </w:rPr>
            <w:fldChar w:fldCharType="begin"/>
          </w:r>
          <w:r>
            <w:rPr>
              <w:sz w:val="24"/>
              <w:szCs w:val="24"/>
            </w:rPr>
            <w:instrText xml:space="preserve"> PAGEREF _Toc13018 \h </w:instrText>
          </w:r>
          <w:r>
            <w:rPr>
              <w:sz w:val="24"/>
              <w:szCs w:val="24"/>
            </w:rPr>
            <w:fldChar w:fldCharType="separate"/>
          </w:r>
          <w:r>
            <w:rPr>
              <w:sz w:val="24"/>
              <w:szCs w:val="24"/>
            </w:rPr>
            <w:t>4</w:t>
          </w:r>
          <w:r>
            <w:rPr>
              <w:sz w:val="24"/>
              <w:szCs w:val="24"/>
            </w:rPr>
            <w:fldChar w:fldCharType="end"/>
          </w:r>
          <w:r>
            <w:rPr>
              <w:rFonts w:hint="eastAsia" w:ascii="宋体" w:hAnsi="宋体" w:eastAsia="宋体" w:cs="宋体"/>
              <w:sz w:val="24"/>
              <w:szCs w:val="24"/>
            </w:rPr>
            <w:fldChar w:fldCharType="end"/>
          </w:r>
        </w:p>
        <w:p w14:paraId="2196DE14">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_Toc30111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bidi="ar-SA"/>
            </w:rPr>
            <w:t xml:space="preserve">第十一条 </w:t>
          </w:r>
          <w:r>
            <w:rPr>
              <w:rFonts w:hint="eastAsia" w:ascii="Times New Roman" w:hAnsi="Times New Roman" w:eastAsia="宋体" w:cs="Times New Roman"/>
              <w:sz w:val="24"/>
              <w:szCs w:val="24"/>
              <w:lang w:val="en-US" w:eastAsia="zh-CN" w:bidi="ar-SA"/>
            </w:rPr>
            <w:t>其他控制线</w:t>
          </w:r>
          <w:r>
            <w:rPr>
              <w:sz w:val="24"/>
              <w:szCs w:val="24"/>
            </w:rPr>
            <w:tab/>
          </w:r>
          <w:r>
            <w:rPr>
              <w:sz w:val="24"/>
              <w:szCs w:val="24"/>
            </w:rPr>
            <w:fldChar w:fldCharType="begin"/>
          </w:r>
          <w:r>
            <w:rPr>
              <w:sz w:val="24"/>
              <w:szCs w:val="24"/>
            </w:rPr>
            <w:instrText xml:space="preserve"> PAGEREF _Toc30111 \h </w:instrText>
          </w:r>
          <w:r>
            <w:rPr>
              <w:sz w:val="24"/>
              <w:szCs w:val="24"/>
            </w:rPr>
            <w:fldChar w:fldCharType="separate"/>
          </w:r>
          <w:r>
            <w:rPr>
              <w:sz w:val="24"/>
              <w:szCs w:val="24"/>
            </w:rPr>
            <w:t>4</w:t>
          </w:r>
          <w:r>
            <w:rPr>
              <w:sz w:val="24"/>
              <w:szCs w:val="24"/>
            </w:rPr>
            <w:fldChar w:fldCharType="end"/>
          </w:r>
          <w:r>
            <w:rPr>
              <w:rFonts w:hint="eastAsia" w:ascii="宋体" w:hAnsi="宋体" w:eastAsia="宋体" w:cs="宋体"/>
              <w:sz w:val="24"/>
              <w:szCs w:val="24"/>
            </w:rPr>
            <w:fldChar w:fldCharType="end"/>
          </w:r>
        </w:p>
        <w:p w14:paraId="7A49B090">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_Toc24568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 xml:space="preserve">第三章 </w:t>
          </w:r>
          <w:r>
            <w:rPr>
              <w:rFonts w:hint="eastAsia" w:ascii="Calibri" w:hAnsi="Calibri" w:cs="Times New Roman"/>
              <w:kern w:val="2"/>
              <w:sz w:val="24"/>
              <w:szCs w:val="24"/>
              <w:lang w:val="en-US" w:eastAsia="zh-CN" w:bidi="ar-SA"/>
            </w:rPr>
            <w:t>用地布局</w:t>
          </w:r>
          <w:r>
            <w:rPr>
              <w:sz w:val="24"/>
              <w:szCs w:val="24"/>
            </w:rPr>
            <w:tab/>
          </w:r>
          <w:r>
            <w:rPr>
              <w:sz w:val="24"/>
              <w:szCs w:val="24"/>
            </w:rPr>
            <w:fldChar w:fldCharType="begin"/>
          </w:r>
          <w:r>
            <w:rPr>
              <w:sz w:val="24"/>
              <w:szCs w:val="24"/>
            </w:rPr>
            <w:instrText xml:space="preserve"> PAGEREF _Toc24568 \h </w:instrText>
          </w:r>
          <w:r>
            <w:rPr>
              <w:sz w:val="24"/>
              <w:szCs w:val="24"/>
            </w:rPr>
            <w:fldChar w:fldCharType="separate"/>
          </w:r>
          <w:r>
            <w:rPr>
              <w:sz w:val="24"/>
              <w:szCs w:val="24"/>
            </w:rPr>
            <w:t>5</w:t>
          </w:r>
          <w:r>
            <w:rPr>
              <w:sz w:val="24"/>
              <w:szCs w:val="24"/>
            </w:rPr>
            <w:fldChar w:fldCharType="end"/>
          </w:r>
          <w:r>
            <w:rPr>
              <w:rFonts w:hint="eastAsia" w:ascii="宋体" w:hAnsi="宋体" w:eastAsia="宋体" w:cs="宋体"/>
              <w:sz w:val="24"/>
              <w:szCs w:val="24"/>
            </w:rPr>
            <w:fldChar w:fldCharType="end"/>
          </w:r>
        </w:p>
        <w:p w14:paraId="6EABCA86">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_Toc479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第十二条 </w:t>
          </w:r>
          <w:r>
            <w:rPr>
              <w:rFonts w:hint="eastAsia"/>
              <w:sz w:val="24"/>
              <w:szCs w:val="24"/>
              <w:lang w:val="en-US" w:eastAsia="zh-CN"/>
            </w:rPr>
            <w:t>村庄建设用地布局通用要求</w:t>
          </w:r>
          <w:r>
            <w:rPr>
              <w:sz w:val="24"/>
              <w:szCs w:val="24"/>
            </w:rPr>
            <w:tab/>
          </w:r>
          <w:r>
            <w:rPr>
              <w:sz w:val="24"/>
              <w:szCs w:val="24"/>
            </w:rPr>
            <w:fldChar w:fldCharType="begin"/>
          </w:r>
          <w:r>
            <w:rPr>
              <w:sz w:val="24"/>
              <w:szCs w:val="24"/>
            </w:rPr>
            <w:instrText xml:space="preserve"> PAGEREF _Toc479 \h </w:instrText>
          </w:r>
          <w:r>
            <w:rPr>
              <w:sz w:val="24"/>
              <w:szCs w:val="24"/>
            </w:rPr>
            <w:fldChar w:fldCharType="separate"/>
          </w:r>
          <w:r>
            <w:rPr>
              <w:sz w:val="24"/>
              <w:szCs w:val="24"/>
            </w:rPr>
            <w:t>5</w:t>
          </w:r>
          <w:r>
            <w:rPr>
              <w:sz w:val="24"/>
              <w:szCs w:val="24"/>
            </w:rPr>
            <w:fldChar w:fldCharType="end"/>
          </w:r>
          <w:r>
            <w:rPr>
              <w:rFonts w:hint="eastAsia" w:ascii="宋体" w:hAnsi="宋体" w:eastAsia="宋体" w:cs="宋体"/>
              <w:sz w:val="24"/>
              <w:szCs w:val="24"/>
            </w:rPr>
            <w:fldChar w:fldCharType="end"/>
          </w:r>
        </w:p>
        <w:p w14:paraId="5FC0477B">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_Toc20097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第十三条 </w:t>
          </w:r>
          <w:r>
            <w:rPr>
              <w:rFonts w:hint="eastAsia"/>
              <w:sz w:val="24"/>
              <w:szCs w:val="24"/>
              <w:lang w:val="en-US" w:eastAsia="zh-CN"/>
            </w:rPr>
            <w:t>村民住房布局要求</w:t>
          </w:r>
          <w:r>
            <w:rPr>
              <w:sz w:val="24"/>
              <w:szCs w:val="24"/>
            </w:rPr>
            <w:tab/>
          </w:r>
          <w:r>
            <w:rPr>
              <w:sz w:val="24"/>
              <w:szCs w:val="24"/>
            </w:rPr>
            <w:fldChar w:fldCharType="begin"/>
          </w:r>
          <w:r>
            <w:rPr>
              <w:sz w:val="24"/>
              <w:szCs w:val="24"/>
            </w:rPr>
            <w:instrText xml:space="preserve"> PAGEREF _Toc20097 \h </w:instrText>
          </w:r>
          <w:r>
            <w:rPr>
              <w:sz w:val="24"/>
              <w:szCs w:val="24"/>
            </w:rPr>
            <w:fldChar w:fldCharType="separate"/>
          </w:r>
          <w:r>
            <w:rPr>
              <w:sz w:val="24"/>
              <w:szCs w:val="24"/>
            </w:rPr>
            <w:t>5</w:t>
          </w:r>
          <w:r>
            <w:rPr>
              <w:sz w:val="24"/>
              <w:szCs w:val="24"/>
            </w:rPr>
            <w:fldChar w:fldCharType="end"/>
          </w:r>
          <w:r>
            <w:rPr>
              <w:rFonts w:hint="eastAsia" w:ascii="宋体" w:hAnsi="宋体" w:eastAsia="宋体" w:cs="宋体"/>
              <w:sz w:val="24"/>
              <w:szCs w:val="24"/>
            </w:rPr>
            <w:fldChar w:fldCharType="end"/>
          </w:r>
        </w:p>
        <w:p w14:paraId="69301602">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_Toc4619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第十四条 </w:t>
          </w:r>
          <w:r>
            <w:rPr>
              <w:rFonts w:hint="eastAsia"/>
              <w:sz w:val="24"/>
              <w:szCs w:val="24"/>
              <w:lang w:val="en-US" w:eastAsia="zh-CN"/>
            </w:rPr>
            <w:t>公共服务设施布局要求</w:t>
          </w:r>
          <w:r>
            <w:rPr>
              <w:sz w:val="24"/>
              <w:szCs w:val="24"/>
            </w:rPr>
            <w:tab/>
          </w:r>
          <w:r>
            <w:rPr>
              <w:sz w:val="24"/>
              <w:szCs w:val="24"/>
            </w:rPr>
            <w:fldChar w:fldCharType="begin"/>
          </w:r>
          <w:r>
            <w:rPr>
              <w:sz w:val="24"/>
              <w:szCs w:val="24"/>
            </w:rPr>
            <w:instrText xml:space="preserve"> PAGEREF _Toc4619 \h </w:instrText>
          </w:r>
          <w:r>
            <w:rPr>
              <w:sz w:val="24"/>
              <w:szCs w:val="24"/>
            </w:rPr>
            <w:fldChar w:fldCharType="separate"/>
          </w:r>
          <w:r>
            <w:rPr>
              <w:sz w:val="24"/>
              <w:szCs w:val="24"/>
            </w:rPr>
            <w:t>6</w:t>
          </w:r>
          <w:r>
            <w:rPr>
              <w:sz w:val="24"/>
              <w:szCs w:val="24"/>
            </w:rPr>
            <w:fldChar w:fldCharType="end"/>
          </w:r>
          <w:r>
            <w:rPr>
              <w:rFonts w:hint="eastAsia" w:ascii="宋体" w:hAnsi="宋体" w:eastAsia="宋体" w:cs="宋体"/>
              <w:sz w:val="24"/>
              <w:szCs w:val="24"/>
            </w:rPr>
            <w:fldChar w:fldCharType="end"/>
          </w:r>
        </w:p>
        <w:p w14:paraId="6A4A4955">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_Toc18893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第十五条 </w:t>
          </w:r>
          <w:r>
            <w:rPr>
              <w:rFonts w:hint="eastAsia"/>
              <w:sz w:val="24"/>
              <w:szCs w:val="24"/>
              <w:lang w:val="en-US" w:eastAsia="zh-CN"/>
            </w:rPr>
            <w:t>公用设施布局要求</w:t>
          </w:r>
          <w:r>
            <w:rPr>
              <w:sz w:val="24"/>
              <w:szCs w:val="24"/>
            </w:rPr>
            <w:tab/>
          </w:r>
          <w:r>
            <w:rPr>
              <w:sz w:val="24"/>
              <w:szCs w:val="24"/>
            </w:rPr>
            <w:fldChar w:fldCharType="begin"/>
          </w:r>
          <w:r>
            <w:rPr>
              <w:sz w:val="24"/>
              <w:szCs w:val="24"/>
            </w:rPr>
            <w:instrText xml:space="preserve"> PAGEREF _Toc18893 \h </w:instrText>
          </w:r>
          <w:r>
            <w:rPr>
              <w:sz w:val="24"/>
              <w:szCs w:val="24"/>
            </w:rPr>
            <w:fldChar w:fldCharType="separate"/>
          </w:r>
          <w:r>
            <w:rPr>
              <w:sz w:val="24"/>
              <w:szCs w:val="24"/>
            </w:rPr>
            <w:t>7</w:t>
          </w:r>
          <w:r>
            <w:rPr>
              <w:sz w:val="24"/>
              <w:szCs w:val="24"/>
            </w:rPr>
            <w:fldChar w:fldCharType="end"/>
          </w:r>
          <w:r>
            <w:rPr>
              <w:rFonts w:hint="eastAsia" w:ascii="宋体" w:hAnsi="宋体" w:eastAsia="宋体" w:cs="宋体"/>
              <w:sz w:val="24"/>
              <w:szCs w:val="24"/>
            </w:rPr>
            <w:fldChar w:fldCharType="end"/>
          </w:r>
        </w:p>
        <w:p w14:paraId="5C40DE16">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_Toc24408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第十六条 </w:t>
          </w:r>
          <w:r>
            <w:rPr>
              <w:rFonts w:hint="eastAsia"/>
              <w:sz w:val="24"/>
              <w:szCs w:val="24"/>
              <w:lang w:val="en-US" w:eastAsia="zh-CN"/>
            </w:rPr>
            <w:t>产业用地布局要求</w:t>
          </w:r>
          <w:r>
            <w:rPr>
              <w:sz w:val="24"/>
              <w:szCs w:val="24"/>
            </w:rPr>
            <w:tab/>
          </w:r>
          <w:r>
            <w:rPr>
              <w:sz w:val="24"/>
              <w:szCs w:val="24"/>
            </w:rPr>
            <w:fldChar w:fldCharType="begin"/>
          </w:r>
          <w:r>
            <w:rPr>
              <w:sz w:val="24"/>
              <w:szCs w:val="24"/>
            </w:rPr>
            <w:instrText xml:space="preserve"> PAGEREF _Toc24408 \h </w:instrText>
          </w:r>
          <w:r>
            <w:rPr>
              <w:sz w:val="24"/>
              <w:szCs w:val="24"/>
            </w:rPr>
            <w:fldChar w:fldCharType="separate"/>
          </w:r>
          <w:r>
            <w:rPr>
              <w:sz w:val="24"/>
              <w:szCs w:val="24"/>
            </w:rPr>
            <w:t>9</w:t>
          </w:r>
          <w:r>
            <w:rPr>
              <w:sz w:val="24"/>
              <w:szCs w:val="24"/>
            </w:rPr>
            <w:fldChar w:fldCharType="end"/>
          </w:r>
          <w:r>
            <w:rPr>
              <w:rFonts w:hint="eastAsia" w:ascii="宋体" w:hAnsi="宋体" w:eastAsia="宋体" w:cs="宋体"/>
              <w:sz w:val="24"/>
              <w:szCs w:val="24"/>
            </w:rPr>
            <w:fldChar w:fldCharType="end"/>
          </w:r>
        </w:p>
        <w:p w14:paraId="4CB7C2C2">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_Toc23673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第十七条 </w:t>
          </w:r>
          <w:r>
            <w:rPr>
              <w:rFonts w:hint="eastAsia" w:cs="宋体"/>
              <w:sz w:val="24"/>
              <w:szCs w:val="24"/>
              <w:lang w:val="en-US" w:eastAsia="zh-CN"/>
            </w:rPr>
            <w:t>国土综合整治与生态修复要求</w:t>
          </w:r>
          <w:r>
            <w:rPr>
              <w:sz w:val="24"/>
              <w:szCs w:val="24"/>
            </w:rPr>
            <w:tab/>
          </w:r>
          <w:r>
            <w:rPr>
              <w:sz w:val="24"/>
              <w:szCs w:val="24"/>
            </w:rPr>
            <w:fldChar w:fldCharType="begin"/>
          </w:r>
          <w:r>
            <w:rPr>
              <w:sz w:val="24"/>
              <w:szCs w:val="24"/>
            </w:rPr>
            <w:instrText xml:space="preserve"> PAGEREF _Toc23673 \h </w:instrText>
          </w:r>
          <w:r>
            <w:rPr>
              <w:sz w:val="24"/>
              <w:szCs w:val="24"/>
            </w:rPr>
            <w:fldChar w:fldCharType="separate"/>
          </w:r>
          <w:r>
            <w:rPr>
              <w:sz w:val="24"/>
              <w:szCs w:val="24"/>
            </w:rPr>
            <w:t>10</w:t>
          </w:r>
          <w:r>
            <w:rPr>
              <w:sz w:val="24"/>
              <w:szCs w:val="24"/>
            </w:rPr>
            <w:fldChar w:fldCharType="end"/>
          </w:r>
          <w:r>
            <w:rPr>
              <w:rFonts w:hint="eastAsia" w:ascii="宋体" w:hAnsi="宋体" w:eastAsia="宋体" w:cs="宋体"/>
              <w:sz w:val="24"/>
              <w:szCs w:val="24"/>
            </w:rPr>
            <w:fldChar w:fldCharType="end"/>
          </w:r>
        </w:p>
        <w:p w14:paraId="26E05DC9">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_Toc3903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 xml:space="preserve">第四章 </w:t>
          </w:r>
          <w:r>
            <w:rPr>
              <w:rFonts w:hint="eastAsia" w:ascii="Calibri" w:hAnsi="Calibri" w:cs="Times New Roman"/>
              <w:kern w:val="2"/>
              <w:sz w:val="24"/>
              <w:szCs w:val="24"/>
              <w:lang w:val="en-US" w:eastAsia="zh-CN" w:bidi="ar-SA"/>
            </w:rPr>
            <w:t>用地指标管控</w:t>
          </w:r>
          <w:r>
            <w:rPr>
              <w:sz w:val="24"/>
              <w:szCs w:val="24"/>
            </w:rPr>
            <w:tab/>
          </w:r>
          <w:r>
            <w:rPr>
              <w:sz w:val="24"/>
              <w:szCs w:val="24"/>
            </w:rPr>
            <w:fldChar w:fldCharType="begin"/>
          </w:r>
          <w:r>
            <w:rPr>
              <w:sz w:val="24"/>
              <w:szCs w:val="24"/>
            </w:rPr>
            <w:instrText xml:space="preserve"> PAGEREF _Toc3903 \h </w:instrText>
          </w:r>
          <w:r>
            <w:rPr>
              <w:sz w:val="24"/>
              <w:szCs w:val="24"/>
            </w:rPr>
            <w:fldChar w:fldCharType="separate"/>
          </w:r>
          <w:r>
            <w:rPr>
              <w:sz w:val="24"/>
              <w:szCs w:val="24"/>
            </w:rPr>
            <w:t>11</w:t>
          </w:r>
          <w:r>
            <w:rPr>
              <w:sz w:val="24"/>
              <w:szCs w:val="24"/>
            </w:rPr>
            <w:fldChar w:fldCharType="end"/>
          </w:r>
          <w:r>
            <w:rPr>
              <w:rFonts w:hint="eastAsia" w:ascii="宋体" w:hAnsi="宋体" w:eastAsia="宋体" w:cs="宋体"/>
              <w:sz w:val="24"/>
              <w:szCs w:val="24"/>
            </w:rPr>
            <w:fldChar w:fldCharType="end"/>
          </w:r>
        </w:p>
        <w:p w14:paraId="559B7C6A">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_Toc3616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第十八条 </w:t>
          </w:r>
          <w:r>
            <w:rPr>
              <w:rFonts w:hint="eastAsia"/>
              <w:sz w:val="24"/>
              <w:szCs w:val="24"/>
              <w:lang w:val="en-US" w:eastAsia="zh-CN"/>
            </w:rPr>
            <w:t>建筑容积率控制</w:t>
          </w:r>
          <w:r>
            <w:rPr>
              <w:sz w:val="24"/>
              <w:szCs w:val="24"/>
            </w:rPr>
            <w:tab/>
          </w:r>
          <w:r>
            <w:rPr>
              <w:sz w:val="24"/>
              <w:szCs w:val="24"/>
            </w:rPr>
            <w:fldChar w:fldCharType="begin"/>
          </w:r>
          <w:r>
            <w:rPr>
              <w:sz w:val="24"/>
              <w:szCs w:val="24"/>
            </w:rPr>
            <w:instrText xml:space="preserve"> PAGEREF _Toc3616 \h </w:instrText>
          </w:r>
          <w:r>
            <w:rPr>
              <w:sz w:val="24"/>
              <w:szCs w:val="24"/>
            </w:rPr>
            <w:fldChar w:fldCharType="separate"/>
          </w:r>
          <w:r>
            <w:rPr>
              <w:sz w:val="24"/>
              <w:szCs w:val="24"/>
            </w:rPr>
            <w:t>11</w:t>
          </w:r>
          <w:r>
            <w:rPr>
              <w:sz w:val="24"/>
              <w:szCs w:val="24"/>
            </w:rPr>
            <w:fldChar w:fldCharType="end"/>
          </w:r>
          <w:r>
            <w:rPr>
              <w:rFonts w:hint="eastAsia" w:ascii="宋体" w:hAnsi="宋体" w:eastAsia="宋体" w:cs="宋体"/>
              <w:sz w:val="24"/>
              <w:szCs w:val="24"/>
            </w:rPr>
            <w:fldChar w:fldCharType="end"/>
          </w:r>
        </w:p>
        <w:p w14:paraId="228D30AB">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_Toc19155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第十九条 </w:t>
          </w:r>
          <w:r>
            <w:rPr>
              <w:rFonts w:hint="eastAsia"/>
              <w:sz w:val="24"/>
              <w:szCs w:val="24"/>
              <w:lang w:val="en-US" w:eastAsia="zh-CN"/>
            </w:rPr>
            <w:t>建筑密度控制</w:t>
          </w:r>
          <w:r>
            <w:rPr>
              <w:sz w:val="24"/>
              <w:szCs w:val="24"/>
            </w:rPr>
            <w:tab/>
          </w:r>
          <w:r>
            <w:rPr>
              <w:sz w:val="24"/>
              <w:szCs w:val="24"/>
            </w:rPr>
            <w:fldChar w:fldCharType="begin"/>
          </w:r>
          <w:r>
            <w:rPr>
              <w:sz w:val="24"/>
              <w:szCs w:val="24"/>
            </w:rPr>
            <w:instrText xml:space="preserve"> PAGEREF _Toc19155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sz w:val="24"/>
              <w:szCs w:val="24"/>
            </w:rPr>
            <w:fldChar w:fldCharType="end"/>
          </w:r>
        </w:p>
        <w:p w14:paraId="7A9A17C1">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_Toc11238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第二十条 </w:t>
          </w:r>
          <w:r>
            <w:rPr>
              <w:rFonts w:hint="eastAsia"/>
              <w:sz w:val="24"/>
              <w:szCs w:val="24"/>
              <w:lang w:val="en-US" w:eastAsia="zh-CN"/>
            </w:rPr>
            <w:t>绿地率控制</w:t>
          </w:r>
          <w:r>
            <w:rPr>
              <w:sz w:val="24"/>
              <w:szCs w:val="24"/>
            </w:rPr>
            <w:tab/>
          </w:r>
          <w:r>
            <w:rPr>
              <w:sz w:val="24"/>
              <w:szCs w:val="24"/>
            </w:rPr>
            <w:fldChar w:fldCharType="begin"/>
          </w:r>
          <w:r>
            <w:rPr>
              <w:sz w:val="24"/>
              <w:szCs w:val="24"/>
            </w:rPr>
            <w:instrText xml:space="preserve"> PAGEREF _Toc11238 \h </w:instrText>
          </w:r>
          <w:r>
            <w:rPr>
              <w:sz w:val="24"/>
              <w:szCs w:val="24"/>
            </w:rPr>
            <w:fldChar w:fldCharType="separate"/>
          </w:r>
          <w:r>
            <w:rPr>
              <w:sz w:val="24"/>
              <w:szCs w:val="24"/>
            </w:rPr>
            <w:t>13</w:t>
          </w:r>
          <w:r>
            <w:rPr>
              <w:sz w:val="24"/>
              <w:szCs w:val="24"/>
            </w:rPr>
            <w:fldChar w:fldCharType="end"/>
          </w:r>
          <w:r>
            <w:rPr>
              <w:rFonts w:hint="eastAsia" w:ascii="宋体" w:hAnsi="宋体" w:eastAsia="宋体" w:cs="宋体"/>
              <w:sz w:val="24"/>
              <w:szCs w:val="24"/>
            </w:rPr>
            <w:fldChar w:fldCharType="end"/>
          </w:r>
        </w:p>
        <w:p w14:paraId="38F969F5">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_Toc14749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第二十一条 </w:t>
          </w:r>
          <w:r>
            <w:rPr>
              <w:rFonts w:hint="eastAsia"/>
              <w:sz w:val="24"/>
              <w:szCs w:val="24"/>
              <w:lang w:val="en-US" w:eastAsia="zh-CN"/>
            </w:rPr>
            <w:t>建筑高度控制</w:t>
          </w:r>
          <w:r>
            <w:rPr>
              <w:sz w:val="24"/>
              <w:szCs w:val="24"/>
            </w:rPr>
            <w:tab/>
          </w:r>
          <w:r>
            <w:rPr>
              <w:sz w:val="24"/>
              <w:szCs w:val="24"/>
            </w:rPr>
            <w:fldChar w:fldCharType="begin"/>
          </w:r>
          <w:r>
            <w:rPr>
              <w:sz w:val="24"/>
              <w:szCs w:val="24"/>
            </w:rPr>
            <w:instrText xml:space="preserve"> PAGEREF _Toc14749 \h </w:instrText>
          </w:r>
          <w:r>
            <w:rPr>
              <w:sz w:val="24"/>
              <w:szCs w:val="24"/>
            </w:rPr>
            <w:fldChar w:fldCharType="separate"/>
          </w:r>
          <w:r>
            <w:rPr>
              <w:sz w:val="24"/>
              <w:szCs w:val="24"/>
            </w:rPr>
            <w:t>13</w:t>
          </w:r>
          <w:r>
            <w:rPr>
              <w:sz w:val="24"/>
              <w:szCs w:val="24"/>
            </w:rPr>
            <w:fldChar w:fldCharType="end"/>
          </w:r>
          <w:r>
            <w:rPr>
              <w:rFonts w:hint="eastAsia" w:ascii="宋体" w:hAnsi="宋体" w:eastAsia="宋体" w:cs="宋体"/>
              <w:sz w:val="24"/>
              <w:szCs w:val="24"/>
            </w:rPr>
            <w:fldChar w:fldCharType="end"/>
          </w:r>
        </w:p>
        <w:p w14:paraId="6075248B">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_Toc23129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第二十二条 </w:t>
          </w:r>
          <w:r>
            <w:rPr>
              <w:rFonts w:hint="eastAsia"/>
              <w:sz w:val="24"/>
              <w:szCs w:val="24"/>
              <w:lang w:val="en-US" w:eastAsia="zh-CN"/>
            </w:rPr>
            <w:t>各类用地控制指标汇总</w:t>
          </w:r>
          <w:r>
            <w:rPr>
              <w:sz w:val="24"/>
              <w:szCs w:val="24"/>
            </w:rPr>
            <w:tab/>
          </w:r>
          <w:r>
            <w:rPr>
              <w:sz w:val="24"/>
              <w:szCs w:val="24"/>
            </w:rPr>
            <w:fldChar w:fldCharType="begin"/>
          </w:r>
          <w:r>
            <w:rPr>
              <w:sz w:val="24"/>
              <w:szCs w:val="24"/>
            </w:rPr>
            <w:instrText xml:space="preserve"> PAGEREF _Toc23129 \h </w:instrText>
          </w:r>
          <w:r>
            <w:rPr>
              <w:sz w:val="24"/>
              <w:szCs w:val="24"/>
            </w:rPr>
            <w:fldChar w:fldCharType="separate"/>
          </w:r>
          <w:r>
            <w:rPr>
              <w:sz w:val="24"/>
              <w:szCs w:val="24"/>
            </w:rPr>
            <w:t>14</w:t>
          </w:r>
          <w:r>
            <w:rPr>
              <w:sz w:val="24"/>
              <w:szCs w:val="24"/>
            </w:rPr>
            <w:fldChar w:fldCharType="end"/>
          </w:r>
          <w:r>
            <w:rPr>
              <w:rFonts w:hint="eastAsia" w:ascii="宋体" w:hAnsi="宋体" w:eastAsia="宋体" w:cs="宋体"/>
              <w:sz w:val="24"/>
              <w:szCs w:val="24"/>
            </w:rPr>
            <w:fldChar w:fldCharType="end"/>
          </w:r>
        </w:p>
        <w:p w14:paraId="5F6BB3CC">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_Toc17519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第五章 用地建设管控指引</w:t>
          </w:r>
          <w:r>
            <w:rPr>
              <w:sz w:val="24"/>
              <w:szCs w:val="24"/>
            </w:rPr>
            <w:tab/>
          </w:r>
          <w:r>
            <w:rPr>
              <w:sz w:val="24"/>
              <w:szCs w:val="24"/>
            </w:rPr>
            <w:fldChar w:fldCharType="begin"/>
          </w:r>
          <w:r>
            <w:rPr>
              <w:sz w:val="24"/>
              <w:szCs w:val="24"/>
            </w:rPr>
            <w:instrText xml:space="preserve"> PAGEREF _Toc17519 \h </w:instrText>
          </w:r>
          <w:r>
            <w:rPr>
              <w:sz w:val="24"/>
              <w:szCs w:val="24"/>
            </w:rPr>
            <w:fldChar w:fldCharType="separate"/>
          </w:r>
          <w:r>
            <w:rPr>
              <w:sz w:val="24"/>
              <w:szCs w:val="24"/>
            </w:rPr>
            <w:t>16</w:t>
          </w:r>
          <w:r>
            <w:rPr>
              <w:sz w:val="24"/>
              <w:szCs w:val="24"/>
            </w:rPr>
            <w:fldChar w:fldCharType="end"/>
          </w:r>
          <w:r>
            <w:rPr>
              <w:rFonts w:hint="eastAsia" w:ascii="宋体" w:hAnsi="宋体" w:eastAsia="宋体" w:cs="宋体"/>
              <w:sz w:val="24"/>
              <w:szCs w:val="24"/>
            </w:rPr>
            <w:fldChar w:fldCharType="end"/>
          </w:r>
        </w:p>
        <w:p w14:paraId="0BF307E0">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_Toc25468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第二十四条 </w:t>
          </w:r>
          <w:r>
            <w:rPr>
              <w:rFonts w:hint="eastAsia"/>
              <w:sz w:val="24"/>
              <w:szCs w:val="24"/>
              <w:lang w:val="en-US" w:eastAsia="zh-CN"/>
            </w:rPr>
            <w:t>建筑退距控制</w:t>
          </w:r>
          <w:r>
            <w:rPr>
              <w:sz w:val="24"/>
              <w:szCs w:val="24"/>
            </w:rPr>
            <w:tab/>
          </w:r>
          <w:r>
            <w:rPr>
              <w:sz w:val="24"/>
              <w:szCs w:val="24"/>
            </w:rPr>
            <w:fldChar w:fldCharType="begin"/>
          </w:r>
          <w:r>
            <w:rPr>
              <w:sz w:val="24"/>
              <w:szCs w:val="24"/>
            </w:rPr>
            <w:instrText xml:space="preserve"> PAGEREF _Toc25468 \h </w:instrText>
          </w:r>
          <w:r>
            <w:rPr>
              <w:sz w:val="24"/>
              <w:szCs w:val="24"/>
            </w:rPr>
            <w:fldChar w:fldCharType="separate"/>
          </w:r>
          <w:r>
            <w:rPr>
              <w:sz w:val="24"/>
              <w:szCs w:val="24"/>
            </w:rPr>
            <w:t>16</w:t>
          </w:r>
          <w:r>
            <w:rPr>
              <w:sz w:val="24"/>
              <w:szCs w:val="24"/>
            </w:rPr>
            <w:fldChar w:fldCharType="end"/>
          </w:r>
          <w:r>
            <w:rPr>
              <w:rFonts w:hint="eastAsia" w:ascii="宋体" w:hAnsi="宋体" w:eastAsia="宋体" w:cs="宋体"/>
              <w:sz w:val="24"/>
              <w:szCs w:val="24"/>
            </w:rPr>
            <w:fldChar w:fldCharType="end"/>
          </w:r>
        </w:p>
        <w:p w14:paraId="41D02FC1">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_Toc26584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第二十五条 </w:t>
          </w:r>
          <w:r>
            <w:rPr>
              <w:rFonts w:hint="eastAsia"/>
              <w:sz w:val="24"/>
              <w:szCs w:val="24"/>
              <w:lang w:val="en-US" w:eastAsia="zh-CN"/>
            </w:rPr>
            <w:t>建筑间距控制</w:t>
          </w:r>
          <w:r>
            <w:rPr>
              <w:sz w:val="24"/>
              <w:szCs w:val="24"/>
            </w:rPr>
            <w:tab/>
          </w:r>
          <w:r>
            <w:rPr>
              <w:sz w:val="24"/>
              <w:szCs w:val="24"/>
            </w:rPr>
            <w:fldChar w:fldCharType="begin"/>
          </w:r>
          <w:r>
            <w:rPr>
              <w:sz w:val="24"/>
              <w:szCs w:val="24"/>
            </w:rPr>
            <w:instrText xml:space="preserve"> PAGEREF _Toc26584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sz w:val="24"/>
              <w:szCs w:val="24"/>
            </w:rPr>
            <w:fldChar w:fldCharType="end"/>
          </w:r>
        </w:p>
        <w:p w14:paraId="6D8141F9">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_Toc2543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第二十六条 </w:t>
          </w:r>
          <w:r>
            <w:rPr>
              <w:rFonts w:hint="eastAsia"/>
              <w:sz w:val="24"/>
              <w:szCs w:val="24"/>
              <w:lang w:val="en-US" w:eastAsia="zh-CN"/>
            </w:rPr>
            <w:t>建筑风貌控制</w:t>
          </w:r>
          <w:r>
            <w:rPr>
              <w:sz w:val="24"/>
              <w:szCs w:val="24"/>
            </w:rPr>
            <w:tab/>
          </w:r>
          <w:r>
            <w:rPr>
              <w:sz w:val="24"/>
              <w:szCs w:val="24"/>
            </w:rPr>
            <w:fldChar w:fldCharType="begin"/>
          </w:r>
          <w:r>
            <w:rPr>
              <w:sz w:val="24"/>
              <w:szCs w:val="24"/>
            </w:rPr>
            <w:instrText xml:space="preserve"> PAGEREF _Toc2543 \h </w:instrText>
          </w:r>
          <w:r>
            <w:rPr>
              <w:sz w:val="24"/>
              <w:szCs w:val="24"/>
            </w:rPr>
            <w:fldChar w:fldCharType="separate"/>
          </w:r>
          <w:r>
            <w:rPr>
              <w:sz w:val="24"/>
              <w:szCs w:val="24"/>
            </w:rPr>
            <w:t>17</w:t>
          </w:r>
          <w:r>
            <w:rPr>
              <w:sz w:val="24"/>
              <w:szCs w:val="24"/>
            </w:rPr>
            <w:fldChar w:fldCharType="end"/>
          </w:r>
          <w:r>
            <w:rPr>
              <w:rFonts w:hint="eastAsia" w:ascii="宋体" w:hAnsi="宋体" w:eastAsia="宋体" w:cs="宋体"/>
              <w:sz w:val="24"/>
              <w:szCs w:val="24"/>
            </w:rPr>
            <w:fldChar w:fldCharType="end"/>
          </w:r>
        </w:p>
        <w:p w14:paraId="7FD1BBA2">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_Toc23317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第二十七条 </w:t>
          </w:r>
          <w:r>
            <w:rPr>
              <w:rFonts w:hint="eastAsia"/>
              <w:sz w:val="24"/>
              <w:szCs w:val="24"/>
              <w:lang w:val="en-US" w:eastAsia="zh-CN"/>
            </w:rPr>
            <w:t>人居环境整治要求</w:t>
          </w:r>
          <w:r>
            <w:rPr>
              <w:sz w:val="24"/>
              <w:szCs w:val="24"/>
            </w:rPr>
            <w:tab/>
          </w:r>
          <w:r>
            <w:rPr>
              <w:sz w:val="24"/>
              <w:szCs w:val="24"/>
            </w:rPr>
            <w:fldChar w:fldCharType="begin"/>
          </w:r>
          <w:r>
            <w:rPr>
              <w:sz w:val="24"/>
              <w:szCs w:val="24"/>
            </w:rPr>
            <w:instrText xml:space="preserve"> PAGEREF _Toc23317 \h </w:instrText>
          </w:r>
          <w:r>
            <w:rPr>
              <w:sz w:val="24"/>
              <w:szCs w:val="24"/>
            </w:rPr>
            <w:fldChar w:fldCharType="separate"/>
          </w:r>
          <w:r>
            <w:rPr>
              <w:sz w:val="24"/>
              <w:szCs w:val="24"/>
            </w:rPr>
            <w:t>18</w:t>
          </w:r>
          <w:r>
            <w:rPr>
              <w:sz w:val="24"/>
              <w:szCs w:val="24"/>
            </w:rPr>
            <w:fldChar w:fldCharType="end"/>
          </w:r>
          <w:r>
            <w:rPr>
              <w:rFonts w:hint="eastAsia" w:ascii="宋体" w:hAnsi="宋体" w:eastAsia="宋体" w:cs="宋体"/>
              <w:sz w:val="24"/>
              <w:szCs w:val="24"/>
            </w:rPr>
            <w:fldChar w:fldCharType="end"/>
          </w:r>
        </w:p>
        <w:p w14:paraId="1C5CEFCD">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_Toc12947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第六章 用地兼容管控</w:t>
          </w:r>
          <w:r>
            <w:rPr>
              <w:sz w:val="24"/>
              <w:szCs w:val="24"/>
            </w:rPr>
            <w:tab/>
          </w:r>
          <w:r>
            <w:rPr>
              <w:sz w:val="24"/>
              <w:szCs w:val="24"/>
            </w:rPr>
            <w:fldChar w:fldCharType="begin"/>
          </w:r>
          <w:r>
            <w:rPr>
              <w:sz w:val="24"/>
              <w:szCs w:val="24"/>
            </w:rPr>
            <w:instrText xml:space="preserve"> PAGEREF _Toc12947 \h </w:instrText>
          </w:r>
          <w:r>
            <w:rPr>
              <w:sz w:val="24"/>
              <w:szCs w:val="24"/>
            </w:rPr>
            <w:fldChar w:fldCharType="separate"/>
          </w:r>
          <w:r>
            <w:rPr>
              <w:sz w:val="24"/>
              <w:szCs w:val="24"/>
            </w:rPr>
            <w:t>19</w:t>
          </w:r>
          <w:r>
            <w:rPr>
              <w:sz w:val="24"/>
              <w:szCs w:val="24"/>
            </w:rPr>
            <w:fldChar w:fldCharType="end"/>
          </w:r>
          <w:r>
            <w:rPr>
              <w:rFonts w:hint="eastAsia" w:ascii="宋体" w:hAnsi="宋体" w:eastAsia="宋体" w:cs="宋体"/>
              <w:sz w:val="24"/>
              <w:szCs w:val="24"/>
            </w:rPr>
            <w:fldChar w:fldCharType="end"/>
          </w:r>
        </w:p>
        <w:p w14:paraId="2DE6C729">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_Toc14263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第二十八条 总体要求</w:t>
          </w:r>
          <w:r>
            <w:rPr>
              <w:sz w:val="24"/>
              <w:szCs w:val="24"/>
            </w:rPr>
            <w:tab/>
          </w:r>
          <w:r>
            <w:rPr>
              <w:sz w:val="24"/>
              <w:szCs w:val="24"/>
            </w:rPr>
            <w:fldChar w:fldCharType="begin"/>
          </w:r>
          <w:r>
            <w:rPr>
              <w:sz w:val="24"/>
              <w:szCs w:val="24"/>
            </w:rPr>
            <w:instrText xml:space="preserve"> PAGEREF _Toc14263 \h </w:instrText>
          </w:r>
          <w:r>
            <w:rPr>
              <w:sz w:val="24"/>
              <w:szCs w:val="24"/>
            </w:rPr>
            <w:fldChar w:fldCharType="separate"/>
          </w:r>
          <w:r>
            <w:rPr>
              <w:sz w:val="24"/>
              <w:szCs w:val="24"/>
            </w:rPr>
            <w:t>19</w:t>
          </w:r>
          <w:r>
            <w:rPr>
              <w:sz w:val="24"/>
              <w:szCs w:val="24"/>
            </w:rPr>
            <w:fldChar w:fldCharType="end"/>
          </w:r>
          <w:r>
            <w:rPr>
              <w:rFonts w:hint="eastAsia" w:ascii="宋体" w:hAnsi="宋体" w:eastAsia="宋体" w:cs="宋体"/>
              <w:sz w:val="24"/>
              <w:szCs w:val="24"/>
            </w:rPr>
            <w:fldChar w:fldCharType="end"/>
          </w:r>
        </w:p>
        <w:p w14:paraId="70BAA956">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_Toc33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第二十九条 用地兼容</w:t>
          </w:r>
          <w:r>
            <w:rPr>
              <w:sz w:val="24"/>
              <w:szCs w:val="24"/>
            </w:rPr>
            <w:tab/>
          </w:r>
          <w:r>
            <w:rPr>
              <w:sz w:val="24"/>
              <w:szCs w:val="24"/>
            </w:rPr>
            <w:fldChar w:fldCharType="begin"/>
          </w:r>
          <w:r>
            <w:rPr>
              <w:sz w:val="24"/>
              <w:szCs w:val="24"/>
            </w:rPr>
            <w:instrText xml:space="preserve"> PAGEREF _Toc33 \h </w:instrText>
          </w:r>
          <w:r>
            <w:rPr>
              <w:sz w:val="24"/>
              <w:szCs w:val="24"/>
            </w:rPr>
            <w:fldChar w:fldCharType="separate"/>
          </w:r>
          <w:r>
            <w:rPr>
              <w:sz w:val="24"/>
              <w:szCs w:val="24"/>
            </w:rPr>
            <w:t>19</w:t>
          </w:r>
          <w:r>
            <w:rPr>
              <w:sz w:val="24"/>
              <w:szCs w:val="24"/>
            </w:rPr>
            <w:fldChar w:fldCharType="end"/>
          </w:r>
          <w:r>
            <w:rPr>
              <w:rFonts w:hint="eastAsia" w:ascii="宋体" w:hAnsi="宋体" w:eastAsia="宋体" w:cs="宋体"/>
              <w:sz w:val="24"/>
              <w:szCs w:val="24"/>
            </w:rPr>
            <w:fldChar w:fldCharType="end"/>
          </w:r>
        </w:p>
        <w:p w14:paraId="390083FF">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_Toc28504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第七章 规划图则</w:t>
          </w:r>
          <w:r>
            <w:rPr>
              <w:sz w:val="24"/>
              <w:szCs w:val="24"/>
            </w:rPr>
            <w:tab/>
          </w:r>
          <w:r>
            <w:rPr>
              <w:sz w:val="24"/>
              <w:szCs w:val="24"/>
            </w:rPr>
            <w:fldChar w:fldCharType="begin"/>
          </w:r>
          <w:r>
            <w:rPr>
              <w:sz w:val="24"/>
              <w:szCs w:val="24"/>
            </w:rPr>
            <w:instrText xml:space="preserve"> PAGEREF _Toc28504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sz w:val="24"/>
              <w:szCs w:val="24"/>
            </w:rPr>
            <w:fldChar w:fldCharType="end"/>
          </w:r>
        </w:p>
        <w:p w14:paraId="527518C1">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_Toc6270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第三十条 图则管控要求</w:t>
          </w:r>
          <w:r>
            <w:rPr>
              <w:sz w:val="24"/>
              <w:szCs w:val="24"/>
            </w:rPr>
            <w:tab/>
          </w:r>
          <w:r>
            <w:rPr>
              <w:sz w:val="24"/>
              <w:szCs w:val="24"/>
            </w:rPr>
            <w:fldChar w:fldCharType="begin"/>
          </w:r>
          <w:r>
            <w:rPr>
              <w:sz w:val="24"/>
              <w:szCs w:val="24"/>
            </w:rPr>
            <w:instrText xml:space="preserve"> PAGEREF _Toc6270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sz w:val="24"/>
              <w:szCs w:val="24"/>
            </w:rPr>
            <w:fldChar w:fldCharType="end"/>
          </w:r>
        </w:p>
        <w:p w14:paraId="2A971A4F">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_Toc2069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第三十一条 制图要求</w:t>
          </w:r>
          <w:r>
            <w:rPr>
              <w:sz w:val="24"/>
              <w:szCs w:val="24"/>
            </w:rPr>
            <w:tab/>
          </w:r>
          <w:r>
            <w:rPr>
              <w:sz w:val="24"/>
              <w:szCs w:val="24"/>
            </w:rPr>
            <w:fldChar w:fldCharType="begin"/>
          </w:r>
          <w:r>
            <w:rPr>
              <w:sz w:val="24"/>
              <w:szCs w:val="24"/>
            </w:rPr>
            <w:instrText xml:space="preserve"> PAGEREF _Toc2069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sz w:val="24"/>
              <w:szCs w:val="24"/>
            </w:rPr>
            <w:fldChar w:fldCharType="end"/>
          </w:r>
        </w:p>
        <w:p w14:paraId="78F42BE5">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_Toc18919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第三十二条 程序要求</w:t>
          </w:r>
          <w:r>
            <w:rPr>
              <w:sz w:val="24"/>
              <w:szCs w:val="24"/>
            </w:rPr>
            <w:tab/>
          </w:r>
          <w:r>
            <w:rPr>
              <w:sz w:val="24"/>
              <w:szCs w:val="24"/>
            </w:rPr>
            <w:fldChar w:fldCharType="begin"/>
          </w:r>
          <w:r>
            <w:rPr>
              <w:sz w:val="24"/>
              <w:szCs w:val="24"/>
            </w:rPr>
            <w:instrText xml:space="preserve"> PAGEREF _Toc18919 \h </w:instrText>
          </w:r>
          <w:r>
            <w:rPr>
              <w:sz w:val="24"/>
              <w:szCs w:val="24"/>
            </w:rPr>
            <w:fldChar w:fldCharType="separate"/>
          </w:r>
          <w:r>
            <w:rPr>
              <w:sz w:val="24"/>
              <w:szCs w:val="24"/>
            </w:rPr>
            <w:t>20</w:t>
          </w:r>
          <w:r>
            <w:rPr>
              <w:sz w:val="24"/>
              <w:szCs w:val="24"/>
            </w:rPr>
            <w:fldChar w:fldCharType="end"/>
          </w:r>
          <w:r>
            <w:rPr>
              <w:rFonts w:hint="eastAsia" w:ascii="宋体" w:hAnsi="宋体" w:eastAsia="宋体" w:cs="宋体"/>
              <w:sz w:val="24"/>
              <w:szCs w:val="24"/>
            </w:rPr>
            <w:fldChar w:fldCharType="end"/>
          </w:r>
        </w:p>
        <w:p w14:paraId="3A84BC36">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_Toc7584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第八章 实施管理规定</w:t>
          </w:r>
          <w:r>
            <w:rPr>
              <w:sz w:val="24"/>
              <w:szCs w:val="24"/>
            </w:rPr>
            <w:tab/>
          </w:r>
          <w:r>
            <w:rPr>
              <w:sz w:val="24"/>
              <w:szCs w:val="24"/>
            </w:rPr>
            <w:fldChar w:fldCharType="begin"/>
          </w:r>
          <w:r>
            <w:rPr>
              <w:sz w:val="24"/>
              <w:szCs w:val="24"/>
            </w:rPr>
            <w:instrText xml:space="preserve"> PAGEREF _Toc7584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sz w:val="24"/>
              <w:szCs w:val="24"/>
            </w:rPr>
            <w:fldChar w:fldCharType="end"/>
          </w:r>
        </w:p>
        <w:p w14:paraId="4DCA5AEA">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_Toc13849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第三十三条 </w:t>
          </w:r>
          <w:r>
            <w:rPr>
              <w:rFonts w:hint="default" w:ascii="宋体" w:hAnsi="宋体" w:eastAsia="宋体" w:cs="宋体"/>
              <w:sz w:val="24"/>
              <w:szCs w:val="24"/>
              <w:lang w:val="en-US" w:eastAsia="zh-CN"/>
            </w:rPr>
            <w:t>加强实施监督</w:t>
          </w:r>
          <w:r>
            <w:rPr>
              <w:sz w:val="24"/>
              <w:szCs w:val="24"/>
            </w:rPr>
            <w:tab/>
          </w:r>
          <w:r>
            <w:rPr>
              <w:sz w:val="24"/>
              <w:szCs w:val="24"/>
            </w:rPr>
            <w:fldChar w:fldCharType="begin"/>
          </w:r>
          <w:r>
            <w:rPr>
              <w:sz w:val="24"/>
              <w:szCs w:val="24"/>
            </w:rPr>
            <w:instrText xml:space="preserve"> PAGEREF _Toc13849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sz w:val="24"/>
              <w:szCs w:val="24"/>
            </w:rPr>
            <w:fldChar w:fldCharType="end"/>
          </w:r>
        </w:p>
        <w:p w14:paraId="5AB88417">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_Toc21549 </w:instrText>
          </w:r>
          <w:r>
            <w:rPr>
              <w:rFonts w:hint="eastAsia" w:ascii="宋体" w:hAnsi="宋体" w:eastAsia="宋体" w:cs="宋体"/>
              <w:sz w:val="24"/>
              <w:szCs w:val="24"/>
            </w:rPr>
            <w:fldChar w:fldCharType="separate"/>
          </w:r>
          <w:r>
            <w:rPr>
              <w:rFonts w:hint="eastAsia" w:ascii="宋体" w:hAnsi="宋体" w:eastAsia="宋体" w:cs="宋体"/>
              <w:sz w:val="24"/>
              <w:szCs w:val="24"/>
              <w:lang w:val="en-US" w:eastAsia="zh-CN"/>
            </w:rPr>
            <w:t xml:space="preserve">第三十四条 </w:t>
          </w:r>
          <w:r>
            <w:rPr>
              <w:rFonts w:hint="default" w:ascii="宋体" w:hAnsi="宋体" w:eastAsia="宋体" w:cs="宋体"/>
              <w:sz w:val="24"/>
              <w:szCs w:val="24"/>
              <w:lang w:val="en-US" w:eastAsia="zh-CN"/>
            </w:rPr>
            <w:t>其他事项</w:t>
          </w:r>
          <w:r>
            <w:rPr>
              <w:sz w:val="24"/>
              <w:szCs w:val="24"/>
            </w:rPr>
            <w:tab/>
          </w:r>
          <w:r>
            <w:rPr>
              <w:sz w:val="24"/>
              <w:szCs w:val="24"/>
            </w:rPr>
            <w:fldChar w:fldCharType="begin"/>
          </w:r>
          <w:r>
            <w:rPr>
              <w:sz w:val="24"/>
              <w:szCs w:val="24"/>
            </w:rPr>
            <w:instrText xml:space="preserve"> PAGEREF _Toc21549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sz w:val="24"/>
              <w:szCs w:val="24"/>
            </w:rPr>
            <w:fldChar w:fldCharType="end"/>
          </w:r>
        </w:p>
        <w:p w14:paraId="771AF2AA">
          <w:pPr>
            <w:pStyle w:val="11"/>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_Toc7208 </w:instrText>
          </w:r>
          <w:r>
            <w:rPr>
              <w:rFonts w:hint="eastAsia" w:ascii="宋体" w:hAnsi="宋体" w:eastAsia="宋体" w:cs="宋体"/>
              <w:sz w:val="24"/>
              <w:szCs w:val="24"/>
            </w:rPr>
            <w:fldChar w:fldCharType="separate"/>
          </w:r>
          <w:r>
            <w:rPr>
              <w:rFonts w:hint="eastAsia" w:ascii="Calibri" w:hAnsi="Calibri" w:eastAsia="宋体" w:cs="Times New Roman"/>
              <w:kern w:val="2"/>
              <w:sz w:val="24"/>
              <w:szCs w:val="24"/>
              <w:lang w:val="en-US" w:eastAsia="zh-CN" w:bidi="ar-SA"/>
            </w:rPr>
            <w:t xml:space="preserve">第九章 </w:t>
          </w:r>
          <w:r>
            <w:rPr>
              <w:rFonts w:hint="default" w:ascii="Calibri" w:hAnsi="Calibri" w:eastAsia="宋体" w:cs="Times New Roman"/>
              <w:kern w:val="2"/>
              <w:sz w:val="24"/>
              <w:szCs w:val="24"/>
              <w:lang w:val="en-US" w:eastAsia="zh-CN" w:bidi="ar-SA"/>
            </w:rPr>
            <w:t>附则</w:t>
          </w:r>
          <w:r>
            <w:rPr>
              <w:sz w:val="24"/>
              <w:szCs w:val="24"/>
            </w:rPr>
            <w:tab/>
          </w:r>
          <w:r>
            <w:rPr>
              <w:sz w:val="24"/>
              <w:szCs w:val="24"/>
            </w:rPr>
            <w:fldChar w:fldCharType="begin"/>
          </w:r>
          <w:r>
            <w:rPr>
              <w:sz w:val="24"/>
              <w:szCs w:val="24"/>
            </w:rPr>
            <w:instrText xml:space="preserve"> PAGEREF _Toc7208 \h </w:instrText>
          </w:r>
          <w:r>
            <w:rPr>
              <w:sz w:val="24"/>
              <w:szCs w:val="24"/>
            </w:rPr>
            <w:fldChar w:fldCharType="separate"/>
          </w:r>
          <w:r>
            <w:rPr>
              <w:sz w:val="24"/>
              <w:szCs w:val="24"/>
            </w:rPr>
            <w:t>22</w:t>
          </w:r>
          <w:r>
            <w:rPr>
              <w:sz w:val="24"/>
              <w:szCs w:val="24"/>
            </w:rPr>
            <w:fldChar w:fldCharType="end"/>
          </w:r>
          <w:r>
            <w:rPr>
              <w:rFonts w:hint="eastAsia" w:ascii="宋体" w:hAnsi="宋体" w:eastAsia="宋体" w:cs="宋体"/>
              <w:sz w:val="24"/>
              <w:szCs w:val="24"/>
            </w:rPr>
            <w:fldChar w:fldCharType="end"/>
          </w:r>
        </w:p>
        <w:p w14:paraId="66233492">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_Toc5000 </w:instrText>
          </w:r>
          <w:r>
            <w:rPr>
              <w:rFonts w:hint="eastAsia" w:ascii="宋体" w:hAnsi="宋体" w:eastAsia="宋体" w:cs="宋体"/>
              <w:sz w:val="24"/>
              <w:szCs w:val="24"/>
            </w:rPr>
            <w:fldChar w:fldCharType="separate"/>
          </w:r>
          <w:r>
            <w:rPr>
              <w:rFonts w:hint="eastAsia" w:cs="宋体"/>
              <w:bCs/>
              <w:sz w:val="24"/>
              <w:szCs w:val="24"/>
              <w:lang w:val="en-US" w:eastAsia="zh-CN"/>
            </w:rPr>
            <w:t>附件1：图则管控依据</w:t>
          </w:r>
          <w:r>
            <w:rPr>
              <w:sz w:val="24"/>
              <w:szCs w:val="24"/>
            </w:rPr>
            <w:tab/>
          </w:r>
          <w:r>
            <w:rPr>
              <w:sz w:val="24"/>
              <w:szCs w:val="24"/>
            </w:rPr>
            <w:fldChar w:fldCharType="begin"/>
          </w:r>
          <w:r>
            <w:rPr>
              <w:sz w:val="24"/>
              <w:szCs w:val="24"/>
            </w:rPr>
            <w:instrText xml:space="preserve"> PAGEREF _Toc5000 \h </w:instrText>
          </w:r>
          <w:r>
            <w:rPr>
              <w:sz w:val="24"/>
              <w:szCs w:val="24"/>
            </w:rPr>
            <w:fldChar w:fldCharType="separate"/>
          </w:r>
          <w:r>
            <w:rPr>
              <w:sz w:val="24"/>
              <w:szCs w:val="24"/>
            </w:rPr>
            <w:t>23</w:t>
          </w:r>
          <w:r>
            <w:rPr>
              <w:sz w:val="24"/>
              <w:szCs w:val="24"/>
            </w:rPr>
            <w:fldChar w:fldCharType="end"/>
          </w:r>
          <w:r>
            <w:rPr>
              <w:rFonts w:hint="eastAsia" w:ascii="宋体" w:hAnsi="宋体" w:eastAsia="宋体" w:cs="宋体"/>
              <w:sz w:val="24"/>
              <w:szCs w:val="24"/>
            </w:rPr>
            <w:fldChar w:fldCharType="end"/>
          </w:r>
        </w:p>
        <w:p w14:paraId="3731DF75">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_Toc23970 </w:instrText>
          </w:r>
          <w:r>
            <w:rPr>
              <w:rFonts w:hint="eastAsia" w:ascii="宋体" w:hAnsi="宋体" w:eastAsia="宋体" w:cs="宋体"/>
              <w:sz w:val="24"/>
              <w:szCs w:val="24"/>
            </w:rPr>
            <w:fldChar w:fldCharType="separate"/>
          </w:r>
          <w:r>
            <w:rPr>
              <w:rFonts w:hint="eastAsia" w:cs="宋体"/>
              <w:bCs/>
              <w:sz w:val="24"/>
              <w:szCs w:val="24"/>
              <w:lang w:val="en-US" w:eastAsia="zh-CN"/>
            </w:rPr>
            <w:t>附件2：永久基本农田、生态保护红线保护指标分解表</w:t>
          </w:r>
          <w:r>
            <w:rPr>
              <w:sz w:val="24"/>
              <w:szCs w:val="24"/>
            </w:rPr>
            <w:tab/>
          </w:r>
          <w:r>
            <w:rPr>
              <w:sz w:val="24"/>
              <w:szCs w:val="24"/>
            </w:rPr>
            <w:fldChar w:fldCharType="begin"/>
          </w:r>
          <w:r>
            <w:rPr>
              <w:sz w:val="24"/>
              <w:szCs w:val="24"/>
            </w:rPr>
            <w:instrText xml:space="preserve"> PAGEREF _Toc23970 \h </w:instrText>
          </w:r>
          <w:r>
            <w:rPr>
              <w:sz w:val="24"/>
              <w:szCs w:val="24"/>
            </w:rPr>
            <w:fldChar w:fldCharType="separate"/>
          </w:r>
          <w:r>
            <w:rPr>
              <w:sz w:val="24"/>
              <w:szCs w:val="24"/>
            </w:rPr>
            <w:t>25</w:t>
          </w:r>
          <w:r>
            <w:rPr>
              <w:sz w:val="24"/>
              <w:szCs w:val="24"/>
            </w:rPr>
            <w:fldChar w:fldCharType="end"/>
          </w:r>
          <w:r>
            <w:rPr>
              <w:rFonts w:hint="eastAsia" w:ascii="宋体" w:hAnsi="宋体" w:eastAsia="宋体" w:cs="宋体"/>
              <w:sz w:val="24"/>
              <w:szCs w:val="24"/>
            </w:rPr>
            <w:fldChar w:fldCharType="end"/>
          </w:r>
        </w:p>
        <w:p w14:paraId="1682CC73">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_Toc21524 </w:instrText>
          </w:r>
          <w:r>
            <w:rPr>
              <w:rFonts w:hint="eastAsia" w:ascii="宋体" w:hAnsi="宋体" w:eastAsia="宋体" w:cs="宋体"/>
              <w:sz w:val="24"/>
              <w:szCs w:val="24"/>
            </w:rPr>
            <w:fldChar w:fldCharType="separate"/>
          </w:r>
          <w:r>
            <w:rPr>
              <w:rFonts w:hint="eastAsia" w:cs="宋体"/>
              <w:bCs/>
              <w:sz w:val="24"/>
              <w:szCs w:val="24"/>
              <w:lang w:val="en-US" w:eastAsia="zh-CN"/>
            </w:rPr>
            <w:t>附件3：《社区生活圈规划技术指南》</w:t>
          </w:r>
          <w:r>
            <w:rPr>
              <w:sz w:val="24"/>
              <w:szCs w:val="24"/>
            </w:rPr>
            <w:tab/>
          </w:r>
          <w:r>
            <w:rPr>
              <w:sz w:val="24"/>
              <w:szCs w:val="24"/>
            </w:rPr>
            <w:fldChar w:fldCharType="begin"/>
          </w:r>
          <w:r>
            <w:rPr>
              <w:sz w:val="24"/>
              <w:szCs w:val="24"/>
            </w:rPr>
            <w:instrText xml:space="preserve"> PAGEREF _Toc21524 \h </w:instrText>
          </w:r>
          <w:r>
            <w:rPr>
              <w:sz w:val="24"/>
              <w:szCs w:val="24"/>
            </w:rPr>
            <w:fldChar w:fldCharType="separate"/>
          </w:r>
          <w:r>
            <w:rPr>
              <w:sz w:val="24"/>
              <w:szCs w:val="24"/>
            </w:rPr>
            <w:t>26</w:t>
          </w:r>
          <w:r>
            <w:rPr>
              <w:sz w:val="24"/>
              <w:szCs w:val="24"/>
            </w:rPr>
            <w:fldChar w:fldCharType="end"/>
          </w:r>
          <w:r>
            <w:rPr>
              <w:rFonts w:hint="eastAsia" w:ascii="宋体" w:hAnsi="宋体" w:eastAsia="宋体" w:cs="宋体"/>
              <w:sz w:val="24"/>
              <w:szCs w:val="24"/>
            </w:rPr>
            <w:fldChar w:fldCharType="end"/>
          </w:r>
        </w:p>
        <w:p w14:paraId="3EF12E82">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_Toc557 </w:instrText>
          </w:r>
          <w:r>
            <w:rPr>
              <w:rFonts w:hint="eastAsia" w:ascii="宋体" w:hAnsi="宋体" w:eastAsia="宋体" w:cs="宋体"/>
              <w:sz w:val="24"/>
              <w:szCs w:val="24"/>
            </w:rPr>
            <w:fldChar w:fldCharType="separate"/>
          </w:r>
          <w:r>
            <w:rPr>
              <w:rFonts w:hint="eastAsia" w:cs="宋体"/>
              <w:bCs/>
              <w:sz w:val="24"/>
              <w:szCs w:val="24"/>
              <w:lang w:val="en-US" w:eastAsia="zh-CN"/>
            </w:rPr>
            <w:t>附件4：用地兼容表</w:t>
          </w:r>
          <w:r>
            <w:rPr>
              <w:sz w:val="24"/>
              <w:szCs w:val="24"/>
            </w:rPr>
            <w:tab/>
          </w:r>
          <w:r>
            <w:rPr>
              <w:sz w:val="24"/>
              <w:szCs w:val="24"/>
            </w:rPr>
            <w:fldChar w:fldCharType="begin"/>
          </w:r>
          <w:r>
            <w:rPr>
              <w:sz w:val="24"/>
              <w:szCs w:val="24"/>
            </w:rPr>
            <w:instrText xml:space="preserve"> PAGEREF _Toc557 \h </w:instrText>
          </w:r>
          <w:r>
            <w:rPr>
              <w:sz w:val="24"/>
              <w:szCs w:val="24"/>
            </w:rPr>
            <w:fldChar w:fldCharType="separate"/>
          </w:r>
          <w:r>
            <w:rPr>
              <w:sz w:val="24"/>
              <w:szCs w:val="24"/>
            </w:rPr>
            <w:t>30</w:t>
          </w:r>
          <w:r>
            <w:rPr>
              <w:sz w:val="24"/>
              <w:szCs w:val="24"/>
            </w:rPr>
            <w:fldChar w:fldCharType="end"/>
          </w:r>
          <w:r>
            <w:rPr>
              <w:rFonts w:hint="eastAsia" w:ascii="宋体" w:hAnsi="宋体" w:eastAsia="宋体" w:cs="宋体"/>
              <w:sz w:val="24"/>
              <w:szCs w:val="24"/>
            </w:rPr>
            <w:fldChar w:fldCharType="end"/>
          </w:r>
        </w:p>
        <w:p w14:paraId="17E70A70">
          <w:pPr>
            <w:pStyle w:val="13"/>
            <w:keepNext w:val="0"/>
            <w:keepLines w:val="0"/>
            <w:pageBreakBefore w:val="0"/>
            <w:widowControl w:val="0"/>
            <w:tabs>
              <w:tab w:val="right" w:leader="dot" w:pos="9188"/>
            </w:tabs>
            <w:kinsoku/>
            <w:wordWrap/>
            <w:overflowPunct/>
            <w:topLinePunct w:val="0"/>
            <w:autoSpaceDE w:val="0"/>
            <w:autoSpaceDN w:val="0"/>
            <w:bidi w:val="0"/>
            <w:adjustRightInd/>
            <w:snapToGrid/>
            <w:spacing w:line="360" w:lineRule="auto"/>
            <w:textAlignment w:val="auto"/>
            <w:rPr>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\l _Toc21636 </w:instrText>
          </w:r>
          <w:r>
            <w:rPr>
              <w:rFonts w:hint="eastAsia" w:ascii="宋体" w:hAnsi="宋体" w:eastAsia="宋体" w:cs="宋体"/>
              <w:sz w:val="24"/>
              <w:szCs w:val="24"/>
            </w:rPr>
            <w:fldChar w:fldCharType="separate"/>
          </w:r>
          <w:r>
            <w:rPr>
              <w:rFonts w:hint="eastAsia" w:cs="宋体"/>
              <w:bCs/>
              <w:sz w:val="24"/>
              <w:szCs w:val="24"/>
              <w:lang w:val="en-US" w:eastAsia="zh-CN"/>
            </w:rPr>
            <w:t>附件5：规划图则参考</w:t>
          </w:r>
          <w:r>
            <w:rPr>
              <w:sz w:val="24"/>
              <w:szCs w:val="24"/>
            </w:rPr>
            <w:tab/>
          </w:r>
          <w:r>
            <w:rPr>
              <w:sz w:val="24"/>
              <w:szCs w:val="24"/>
            </w:rPr>
            <w:fldChar w:fldCharType="begin"/>
          </w:r>
          <w:r>
            <w:rPr>
              <w:sz w:val="24"/>
              <w:szCs w:val="24"/>
            </w:rPr>
            <w:instrText xml:space="preserve"> PAGEREF _Toc21636 \h </w:instrText>
          </w:r>
          <w:r>
            <w:rPr>
              <w:sz w:val="24"/>
              <w:szCs w:val="24"/>
            </w:rPr>
            <w:fldChar w:fldCharType="separate"/>
          </w:r>
          <w:r>
            <w:rPr>
              <w:sz w:val="24"/>
              <w:szCs w:val="24"/>
            </w:rPr>
            <w:t>31</w:t>
          </w:r>
          <w:r>
            <w:rPr>
              <w:sz w:val="24"/>
              <w:szCs w:val="24"/>
            </w:rPr>
            <w:fldChar w:fldCharType="end"/>
          </w:r>
          <w:r>
            <w:rPr>
              <w:rFonts w:hint="eastAsia" w:ascii="宋体" w:hAnsi="宋体" w:eastAsia="宋体" w:cs="宋体"/>
              <w:sz w:val="24"/>
              <w:szCs w:val="24"/>
            </w:rPr>
            <w:fldChar w:fldCharType="end"/>
          </w:r>
        </w:p>
        <w:p w14:paraId="50AF667A">
          <w:pPr>
            <w:pStyle w:val="6"/>
            <w:keepNext w:val="0"/>
            <w:keepLines w:val="0"/>
            <w:pageBreakBefore w:val="0"/>
            <w:widowControl w:val="0"/>
            <w:kinsoku/>
            <w:wordWrap/>
            <w:overflowPunct/>
            <w:topLinePunct w:val="0"/>
            <w:autoSpaceDE w:val="0"/>
            <w:autoSpaceDN w:val="0"/>
            <w:bidi w:val="0"/>
            <w:adjustRightInd/>
            <w:snapToGrid/>
            <w:spacing w:before="0" w:after="0" w:afterLines="0" w:line="360" w:lineRule="auto"/>
            <w:ind w:left="0" w:leftChars="0" w:right="0" w:rightChars="0" w:firstLine="480" w:firstLineChars="200"/>
            <w:textAlignment w:val="auto"/>
            <w:rPr>
              <w:rFonts w:hint="eastAsia" w:ascii="宋体" w:hAnsi="宋体" w:eastAsia="宋体" w:cs="宋体"/>
              <w:sz w:val="24"/>
              <w:szCs w:val="24"/>
              <w:lang w:val="zh-CN" w:eastAsia="zh-CN" w:bidi="zh-CN"/>
            </w:rPr>
          </w:pPr>
          <w:r>
            <w:rPr>
              <w:rFonts w:hint="eastAsia" w:ascii="宋体" w:hAnsi="宋体" w:eastAsia="宋体" w:cs="宋体"/>
              <w:sz w:val="24"/>
              <w:szCs w:val="24"/>
            </w:rPr>
            <w:fldChar w:fldCharType="end"/>
          </w:r>
        </w:p>
      </w:sdtContent>
    </w:sdt>
    <w:p w14:paraId="0DA309A4">
      <w:pPr>
        <w:pStyle w:val="6"/>
        <w:keepNext w:val="0"/>
        <w:keepLines w:val="0"/>
        <w:pageBreakBefore w:val="0"/>
        <w:widowControl w:val="0"/>
        <w:kinsoku/>
        <w:wordWrap/>
        <w:overflowPunct/>
        <w:topLinePunct w:val="0"/>
        <w:autoSpaceDE w:val="0"/>
        <w:autoSpaceDN w:val="0"/>
        <w:bidi w:val="0"/>
        <w:adjustRightInd/>
        <w:snapToGrid/>
        <w:spacing w:before="0" w:after="0" w:afterLines="0" w:line="360" w:lineRule="auto"/>
        <w:ind w:left="0" w:leftChars="0" w:right="0" w:rightChars="0" w:firstLine="480" w:firstLineChars="200"/>
        <w:textAlignment w:val="auto"/>
        <w:rPr>
          <w:rFonts w:hint="eastAsia" w:ascii="宋体" w:hAnsi="宋体" w:eastAsia="宋体" w:cs="宋体"/>
          <w:sz w:val="24"/>
          <w:szCs w:val="24"/>
          <w:lang w:val="zh-CN" w:eastAsia="zh-CN" w:bidi="zh-CN"/>
        </w:rPr>
        <w:sectPr>
          <w:headerReference r:id="rId5" w:type="default"/>
          <w:footerReference r:id="rId6" w:type="default"/>
          <w:type w:val="continuous"/>
          <w:pgSz w:w="11910" w:h="16840"/>
          <w:pgMar w:top="1361" w:right="1361" w:bottom="1361" w:left="1361" w:header="720" w:footer="720" w:gutter="0"/>
          <w:cols w:space="720" w:num="1"/>
        </w:sectPr>
      </w:pPr>
    </w:p>
    <w:p w14:paraId="00F1CBE2">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723" w:firstLineChars="200"/>
        <w:jc w:val="center"/>
        <w:textAlignment w:val="auto"/>
        <w:outlineLvl w:val="0"/>
        <w:rPr>
          <w:rFonts w:hint="eastAsia" w:ascii="Calibri" w:hAnsi="Calibri" w:eastAsia="宋体" w:cs="Times New Roman"/>
          <w:b/>
          <w:kern w:val="2"/>
          <w:sz w:val="36"/>
          <w:szCs w:val="32"/>
          <w:lang w:val="en-US" w:eastAsia="zh-CN" w:bidi="ar-SA"/>
        </w:rPr>
      </w:pPr>
      <w:bookmarkStart w:id="0" w:name="第一章总 则"/>
      <w:bookmarkEnd w:id="0"/>
      <w:bookmarkStart w:id="1" w:name="_Toc27316"/>
      <w:bookmarkStart w:id="2" w:name="_Toc32195"/>
      <w:r>
        <w:rPr>
          <w:rFonts w:hint="eastAsia" w:ascii="Calibri" w:hAnsi="Calibri" w:eastAsia="宋体" w:cs="Times New Roman"/>
          <w:b/>
          <w:kern w:val="2"/>
          <w:sz w:val="36"/>
          <w:szCs w:val="32"/>
          <w:lang w:val="en-US" w:eastAsia="zh-CN" w:bidi="ar-SA"/>
        </w:rPr>
        <w:t>总则</w:t>
      </w:r>
      <w:bookmarkEnd w:id="1"/>
      <w:bookmarkEnd w:id="2"/>
    </w:p>
    <w:p w14:paraId="6FC2DDC0">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Times New Roman" w:hAnsi="Times New Roman" w:cs="Times New Roman"/>
          <w:lang w:val="en-US" w:eastAsia="zh-CN" w:bidi="ar-SA"/>
        </w:rPr>
      </w:pPr>
      <w:bookmarkStart w:id="3" w:name="_Toc10700"/>
      <w:bookmarkStart w:id="4" w:name="_Toc27745"/>
      <w:r>
        <w:rPr>
          <w:rFonts w:hint="eastAsia" w:ascii="Times New Roman" w:hAnsi="Times New Roman" w:cs="Times New Roman"/>
          <w:lang w:val="en-US" w:eastAsia="zh-CN" w:bidi="ar-SA"/>
        </w:rPr>
        <w:t>制定目的</w:t>
      </w:r>
      <w:bookmarkEnd w:id="3"/>
      <w:bookmarkEnd w:id="4"/>
    </w:p>
    <w:p w14:paraId="4281450F">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eastAsia" w:cs="宋体"/>
          <w:color w:val="auto"/>
          <w:spacing w:val="-10"/>
          <w:sz w:val="24"/>
          <w:szCs w:val="24"/>
          <w:lang w:val="en-US" w:eastAsia="zh-CN" w:bidi="zh-CN"/>
        </w:rPr>
      </w:pPr>
      <w:r>
        <w:rPr>
          <w:rFonts w:hint="eastAsia" w:cs="宋体"/>
          <w:spacing w:val="-10"/>
          <w:sz w:val="24"/>
          <w:szCs w:val="24"/>
          <w:lang w:val="en-US" w:eastAsia="zh-CN" w:bidi="zh-CN"/>
        </w:rPr>
        <w:t>为全面贯彻落实党中央、国务院及省委、省政府关于实施乡村振兴战略的决策部署，细化落实《自然资源部中央农村工作领导小组办公室关于学习运用“千万工程”经验提高村庄规划编制质量和实效的通知》《自然资源部办公厅关于加强村庄规划促进乡村振兴的通知》《中共中央国务院关于进一步深化农村改革扎实推进乡村全面振兴的意见》《自然资源部办公厅关于乡村地区“通则式”规划技术管理规定编制要求的通知》等文件要求，</w:t>
      </w:r>
      <w:r>
        <w:rPr>
          <w:rFonts w:hint="eastAsia" w:cs="宋体"/>
          <w:color w:val="auto"/>
          <w:spacing w:val="-10"/>
          <w:sz w:val="24"/>
          <w:szCs w:val="24"/>
          <w:lang w:val="en-US" w:eastAsia="zh-CN" w:bidi="zh-CN"/>
        </w:rPr>
        <w:t>科学确定村庄建设重点与优先序，统筹建设管理与长效维护，结合阳山县实际，制定本规定，以实现对阳山乡村地区空间规划管理全覆盖。</w:t>
      </w:r>
    </w:p>
    <w:p w14:paraId="50D140B7">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Times New Roman" w:hAnsi="Times New Roman" w:cs="Times New Roman"/>
          <w:lang w:val="en-US" w:eastAsia="zh-CN" w:bidi="ar-SA"/>
        </w:rPr>
      </w:pPr>
      <w:bookmarkStart w:id="5" w:name="_Toc6251"/>
      <w:r>
        <w:rPr>
          <w:rFonts w:hint="eastAsia" w:ascii="Times New Roman" w:hAnsi="Times New Roman" w:cs="Times New Roman"/>
          <w:lang w:val="en-US" w:eastAsia="zh-CN" w:bidi="ar-SA"/>
        </w:rPr>
        <w:t>适用范围</w:t>
      </w:r>
      <w:bookmarkEnd w:id="5"/>
    </w:p>
    <w:p w14:paraId="2035D526">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440" w:firstLineChars="200"/>
        <w:textAlignment w:val="auto"/>
        <w:rPr>
          <w:rFonts w:hint="eastAsia" w:cs="宋体"/>
          <w:spacing w:val="-10"/>
          <w:sz w:val="24"/>
          <w:szCs w:val="24"/>
          <w:lang w:val="en-US" w:eastAsia="zh-CN" w:bidi="zh-CN"/>
        </w:rPr>
      </w:pPr>
      <w:r>
        <w:rPr>
          <w:rFonts w:hint="eastAsia" w:cs="宋体"/>
          <w:spacing w:val="-10"/>
          <w:sz w:val="24"/>
          <w:szCs w:val="24"/>
          <w:lang w:val="en-US" w:eastAsia="zh-CN" w:bidi="zh-CN"/>
        </w:rPr>
        <w:t>“通则式”村庄规划管理规定（以下简称“本规定”）适用于阳山县城镇开发边界以外经评估无需编制和未编制村庄规划的乡村区域。已编制并依法批准村庄规划（详细规划）的，可参照执行。</w:t>
      </w:r>
    </w:p>
    <w:p w14:paraId="1C7A3B25">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Times New Roman" w:hAnsi="Times New Roman" w:cs="Times New Roman"/>
          <w:lang w:val="en-US" w:eastAsia="zh-CN" w:bidi="ar-SA"/>
        </w:rPr>
      </w:pPr>
      <w:bookmarkStart w:id="6" w:name="_Toc24837"/>
      <w:r>
        <w:rPr>
          <w:rFonts w:hint="eastAsia" w:ascii="Times New Roman" w:hAnsi="Times New Roman" w:cs="Times New Roman"/>
          <w:lang w:val="en-US" w:eastAsia="zh-CN" w:bidi="ar-SA"/>
        </w:rPr>
        <w:t>适用情形</w:t>
      </w:r>
      <w:bookmarkEnd w:id="6"/>
    </w:p>
    <w:p w14:paraId="37A85F9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eastAsia" w:cs="宋体"/>
          <w:spacing w:val="-10"/>
          <w:sz w:val="24"/>
          <w:szCs w:val="24"/>
          <w:lang w:val="en-US" w:eastAsia="zh-CN" w:bidi="zh-CN"/>
        </w:rPr>
      </w:pPr>
      <w:r>
        <w:rPr>
          <w:rFonts w:hint="eastAsia" w:cs="宋体"/>
          <w:spacing w:val="-10"/>
          <w:sz w:val="24"/>
          <w:szCs w:val="24"/>
          <w:lang w:val="en-US" w:eastAsia="zh-CN" w:bidi="zh-CN"/>
        </w:rPr>
        <w:t>本规定作为乡村地区实施国土空间用途管制、核发乡村建设项目规划许可的依据，可用于集体建设用地和农村留用地上的农村住房、乡村公共设施和乡村产业等乡村建设项目。农村住房涉及的用地类型为农村宅基地（0703地类）。乡村公共设施涉及的用地类型包括农村社区服务设施用地（0704地类）、公共管理与公共服务用地（08地类）、城镇村道路用地（1207地类）、交通场站用地（1208地类）、其他交通设施用地（1209地类）、公用设施用地（13地类）、绿地与开敞空间用地（14地类）等。乡村产业涉及的用地类型包括商业服务业用地（09类）、工业用地（1001地类）、仓储用地（11地类）等。</w:t>
      </w:r>
    </w:p>
    <w:p w14:paraId="53E81D4E">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Times New Roman" w:hAnsi="Times New Roman" w:cs="Times New Roman"/>
          <w:lang w:val="en-US" w:eastAsia="zh-CN" w:bidi="ar-SA"/>
        </w:rPr>
      </w:pPr>
      <w:bookmarkStart w:id="7" w:name="_Toc16706"/>
      <w:r>
        <w:rPr>
          <w:rFonts w:hint="eastAsia" w:ascii="Times New Roman" w:hAnsi="Times New Roman" w:cs="Times New Roman"/>
          <w:lang w:val="en-US" w:eastAsia="zh-CN" w:bidi="ar-SA"/>
        </w:rPr>
        <w:t>编制原则</w:t>
      </w:r>
      <w:bookmarkEnd w:id="7"/>
    </w:p>
    <w:p w14:paraId="705E972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eastAsia" w:cs="宋体"/>
          <w:spacing w:val="-10"/>
          <w:sz w:val="24"/>
          <w:szCs w:val="24"/>
          <w:lang w:val="en-US" w:eastAsia="zh-CN" w:bidi="zh-CN"/>
        </w:rPr>
      </w:pPr>
      <w:r>
        <w:rPr>
          <w:rFonts w:hint="eastAsia" w:cs="宋体"/>
          <w:spacing w:val="-10"/>
          <w:sz w:val="24"/>
          <w:szCs w:val="24"/>
          <w:lang w:val="en-US" w:eastAsia="zh-CN" w:bidi="zh-CN"/>
        </w:rPr>
        <w:t>（一）坚守底线，节约集约</w:t>
      </w:r>
    </w:p>
    <w:p w14:paraId="485D4B62">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default" w:cs="宋体"/>
          <w:spacing w:val="-10"/>
          <w:sz w:val="24"/>
          <w:szCs w:val="24"/>
          <w:lang w:val="en-US" w:eastAsia="zh-CN" w:bidi="zh-CN"/>
        </w:rPr>
      </w:pPr>
      <w:r>
        <w:rPr>
          <w:rFonts w:hint="eastAsia" w:cs="宋体"/>
          <w:spacing w:val="-10"/>
          <w:sz w:val="24"/>
          <w:szCs w:val="24"/>
          <w:lang w:val="en-US" w:eastAsia="zh-CN" w:bidi="zh-CN"/>
        </w:rPr>
        <w:t>坚持保护优先，</w:t>
      </w:r>
      <w:r>
        <w:rPr>
          <w:rFonts w:hint="default" w:cs="宋体"/>
          <w:spacing w:val="-10"/>
          <w:sz w:val="24"/>
          <w:szCs w:val="24"/>
          <w:lang w:val="en-US" w:eastAsia="zh-CN" w:bidi="zh-CN"/>
        </w:rPr>
        <w:t>严格落实上位规划确定的重要控制线与规划分区管控要求，严守耕地、永久基本农田</w:t>
      </w:r>
      <w:r>
        <w:rPr>
          <w:rFonts w:hint="eastAsia" w:cs="宋体"/>
          <w:spacing w:val="-10"/>
          <w:sz w:val="24"/>
          <w:szCs w:val="24"/>
          <w:lang w:val="en-US" w:eastAsia="zh-CN" w:bidi="zh-CN"/>
        </w:rPr>
        <w:t>及</w:t>
      </w:r>
      <w:r>
        <w:rPr>
          <w:rFonts w:hint="default" w:cs="宋体"/>
          <w:spacing w:val="-10"/>
          <w:sz w:val="24"/>
          <w:szCs w:val="24"/>
          <w:lang w:val="en-US" w:eastAsia="zh-CN" w:bidi="zh-CN"/>
        </w:rPr>
        <w:t>生态保护红线底线，</w:t>
      </w:r>
      <w:r>
        <w:rPr>
          <w:rFonts w:hint="eastAsia" w:cs="宋体"/>
          <w:spacing w:val="-10"/>
          <w:sz w:val="24"/>
          <w:szCs w:val="24"/>
          <w:lang w:val="en-US" w:eastAsia="zh-CN" w:bidi="zh-CN"/>
        </w:rPr>
        <w:t>科学</w:t>
      </w:r>
      <w:r>
        <w:rPr>
          <w:rFonts w:hint="default" w:cs="宋体"/>
          <w:spacing w:val="-10"/>
          <w:sz w:val="24"/>
          <w:szCs w:val="24"/>
          <w:lang w:val="en-US" w:eastAsia="zh-CN" w:bidi="zh-CN"/>
        </w:rPr>
        <w:t>统筹各类资源要素，通过土地综合整治、增减挂钩等手段</w:t>
      </w:r>
      <w:r>
        <w:rPr>
          <w:rFonts w:hint="eastAsia" w:cs="宋体"/>
          <w:spacing w:val="-10"/>
          <w:sz w:val="24"/>
          <w:szCs w:val="24"/>
          <w:lang w:val="en-US" w:eastAsia="zh-CN" w:bidi="zh-CN"/>
        </w:rPr>
        <w:t>，</w:t>
      </w:r>
      <w:r>
        <w:rPr>
          <w:rFonts w:hint="default" w:cs="宋体"/>
          <w:spacing w:val="-10"/>
          <w:sz w:val="24"/>
          <w:szCs w:val="24"/>
          <w:lang w:val="en-US" w:eastAsia="zh-CN" w:bidi="zh-CN"/>
        </w:rPr>
        <w:t>提升土地资源节约集约利用水平。</w:t>
      </w:r>
    </w:p>
    <w:p w14:paraId="380407CF">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default" w:cs="宋体"/>
          <w:spacing w:val="-10"/>
          <w:sz w:val="24"/>
          <w:szCs w:val="24"/>
          <w:lang w:val="en-US" w:eastAsia="zh-CN" w:bidi="zh-CN"/>
        </w:rPr>
      </w:pPr>
      <w:r>
        <w:rPr>
          <w:rFonts w:hint="default" w:cs="宋体"/>
          <w:spacing w:val="-10"/>
          <w:sz w:val="24"/>
          <w:szCs w:val="24"/>
          <w:lang w:val="en-US" w:eastAsia="zh-CN" w:bidi="zh-CN"/>
        </w:rPr>
        <w:t>（二）因地制宜，彰显特色</w:t>
      </w:r>
    </w:p>
    <w:p w14:paraId="720716E4">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eastAsia" w:cs="宋体"/>
          <w:spacing w:val="-10"/>
          <w:sz w:val="24"/>
          <w:szCs w:val="24"/>
          <w:lang w:val="en-US" w:eastAsia="zh-CN" w:bidi="zh-CN"/>
        </w:rPr>
      </w:pPr>
      <w:r>
        <w:rPr>
          <w:rFonts w:hint="eastAsia" w:cs="宋体"/>
          <w:spacing w:val="-10"/>
          <w:sz w:val="24"/>
          <w:szCs w:val="24"/>
          <w:lang w:val="en-US" w:eastAsia="zh-CN" w:bidi="zh-CN"/>
        </w:rPr>
        <w:t>充分考量阳山县各区域村庄的自然禀赋与文化要素，塑造兼具地域特征的空间环境，突出历史底蕴与乡村风貌特色，优化完善配套设施体系，建设宜居宜业和美乡村。</w:t>
      </w:r>
    </w:p>
    <w:p w14:paraId="7492B5EF">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eastAsia" w:cs="宋体"/>
          <w:spacing w:val="-10"/>
          <w:sz w:val="24"/>
          <w:szCs w:val="24"/>
          <w:lang w:val="en-US" w:eastAsia="zh-CN" w:bidi="zh-CN"/>
        </w:rPr>
      </w:pPr>
      <w:r>
        <w:rPr>
          <w:rFonts w:hint="eastAsia" w:cs="宋体"/>
          <w:spacing w:val="-10"/>
          <w:sz w:val="24"/>
          <w:szCs w:val="24"/>
          <w:lang w:val="en-US" w:eastAsia="zh-CN" w:bidi="zh-CN"/>
        </w:rPr>
        <w:t>（三）以人为本，惠民发展</w:t>
      </w:r>
    </w:p>
    <w:p w14:paraId="3CCF4357">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eastAsia" w:cs="宋体"/>
          <w:spacing w:val="-10"/>
          <w:sz w:val="24"/>
          <w:szCs w:val="24"/>
          <w:lang w:val="en-US" w:eastAsia="zh-CN" w:bidi="zh-CN"/>
        </w:rPr>
      </w:pPr>
      <w:r>
        <w:rPr>
          <w:rFonts w:hint="eastAsia" w:cs="宋体"/>
          <w:spacing w:val="-10"/>
          <w:sz w:val="24"/>
          <w:szCs w:val="24"/>
          <w:lang w:val="en-US" w:eastAsia="zh-CN" w:bidi="zh-CN"/>
        </w:rPr>
        <w:t>坚持以人民为中心的发展思想，广泛征询群众意见，聚焦村民实际需求，统筹协调乡村地区建设活动需要，规范引导符合国土空间规划的各类开发建设行为。</w:t>
      </w:r>
    </w:p>
    <w:p w14:paraId="02EEAA8A">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440" w:firstLineChars="200"/>
        <w:jc w:val="center"/>
        <w:textAlignment w:val="auto"/>
        <w:outlineLvl w:val="0"/>
        <w:rPr>
          <w:rFonts w:hint="eastAsia" w:ascii="Calibri" w:hAnsi="Calibri" w:eastAsia="宋体" w:cs="Times New Roman"/>
          <w:b/>
          <w:kern w:val="2"/>
          <w:sz w:val="36"/>
          <w:szCs w:val="32"/>
          <w:lang w:val="en-US" w:eastAsia="zh-CN" w:bidi="ar-SA"/>
        </w:rPr>
      </w:pPr>
      <w:r>
        <w:rPr>
          <w:rFonts w:hint="eastAsia" w:cs="宋体"/>
          <w:spacing w:val="-10"/>
          <w:sz w:val="24"/>
          <w:szCs w:val="24"/>
          <w:lang w:val="en-US" w:eastAsia="zh-CN" w:bidi="zh-CN"/>
        </w:rPr>
        <w:br w:type="page"/>
      </w:r>
      <w:bookmarkStart w:id="8" w:name="_Toc19483"/>
      <w:r>
        <w:rPr>
          <w:rFonts w:hint="eastAsia" w:ascii="Calibri" w:hAnsi="Calibri" w:cs="Times New Roman"/>
          <w:b/>
          <w:kern w:val="2"/>
          <w:sz w:val="36"/>
          <w:szCs w:val="32"/>
          <w:lang w:val="en-US" w:eastAsia="zh-CN" w:bidi="ar-SA"/>
        </w:rPr>
        <w:t>底线管控</w:t>
      </w:r>
      <w:bookmarkEnd w:id="8"/>
    </w:p>
    <w:p w14:paraId="1207BFA7">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Times New Roman" w:hAnsi="Times New Roman" w:cs="Times New Roman"/>
          <w:lang w:val="en-US" w:eastAsia="zh-CN" w:bidi="ar-SA"/>
        </w:rPr>
      </w:pPr>
      <w:bookmarkStart w:id="9" w:name="_Toc23506"/>
      <w:r>
        <w:rPr>
          <w:rFonts w:hint="eastAsia" w:ascii="Times New Roman" w:hAnsi="Times New Roman" w:cs="Times New Roman"/>
          <w:lang w:val="en-US" w:eastAsia="zh-CN" w:bidi="ar-SA"/>
        </w:rPr>
        <w:t>耕地和永久基本农田</w:t>
      </w:r>
      <w:bookmarkEnd w:id="9"/>
    </w:p>
    <w:p w14:paraId="4F2B683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严格落实上位规划确定的耕地、永久基本农田保护红线及相关管控要求。</w:t>
      </w:r>
    </w:p>
    <w:p w14:paraId="44182DD0">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eastAsia" w:cs="宋体"/>
          <w:color w:val="FF0000"/>
          <w:spacing w:val="-10"/>
          <w:sz w:val="22"/>
          <w:szCs w:val="22"/>
          <w:lang w:val="en-US" w:eastAsia="zh-CN" w:bidi="zh-CN"/>
        </w:rPr>
      </w:pPr>
      <w:r>
        <w:rPr>
          <w:rFonts w:hint="eastAsia" w:ascii="宋体" w:hAnsi="宋体" w:eastAsia="宋体" w:cs="宋体"/>
          <w:spacing w:val="-10"/>
          <w:sz w:val="24"/>
          <w:szCs w:val="24"/>
          <w:lang w:val="en-US" w:eastAsia="zh-CN" w:bidi="zh-CN"/>
        </w:rPr>
        <w:t>耕地和永久基本农田保护</w:t>
      </w:r>
      <w:r>
        <w:rPr>
          <w:rFonts w:hint="eastAsia" w:cs="宋体"/>
          <w:spacing w:val="-10"/>
          <w:sz w:val="24"/>
          <w:szCs w:val="24"/>
          <w:lang w:val="en-US" w:eastAsia="zh-CN" w:bidi="zh-CN"/>
        </w:rPr>
        <w:t>区</w:t>
      </w:r>
      <w:r>
        <w:rPr>
          <w:rFonts w:hint="eastAsia" w:ascii="宋体" w:hAnsi="宋体" w:eastAsia="宋体" w:cs="宋体"/>
          <w:spacing w:val="-10"/>
          <w:sz w:val="24"/>
          <w:szCs w:val="24"/>
          <w:lang w:val="en-US" w:eastAsia="zh-CN" w:bidi="zh-CN"/>
        </w:rPr>
        <w:t>的管控规则应依据国家及地方有关规定执行。坚决防止永久基本农田“非农化”。永久基本农田必须坚持农地农用，禁止任何单位和个人在基本农田保护区内建窑、建房、建坟、挖砂、采石、采矿、取土、堆放固体废弃物或者进行其他破坏基本农田的活动；禁止任何单位和个人占用基本农田发展林果业和挖塘养鱼；禁止任何单位和个人闲置、荒芜基本农田</w:t>
      </w:r>
      <w:r>
        <w:rPr>
          <w:rFonts w:hint="eastAsia" w:cs="宋体"/>
          <w:spacing w:val="-10"/>
          <w:sz w:val="24"/>
          <w:szCs w:val="24"/>
          <w:lang w:val="en-US" w:eastAsia="zh-CN" w:bidi="zh-CN"/>
        </w:rPr>
        <w:t>。</w:t>
      </w:r>
      <w:r>
        <w:rPr>
          <w:rFonts w:hint="eastAsia" w:cs="宋体"/>
          <w:color w:val="FF0000"/>
          <w:spacing w:val="-10"/>
          <w:sz w:val="22"/>
          <w:szCs w:val="22"/>
          <w:lang w:val="en-US" w:eastAsia="zh-CN" w:bidi="zh-CN"/>
        </w:rPr>
        <w:t>（《基本农田保护条例》）</w:t>
      </w:r>
    </w:p>
    <w:p w14:paraId="230A29AB">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Times New Roman" w:hAnsi="Times New Roman" w:eastAsia="宋体" w:cs="Times New Roman"/>
          <w:lang w:val="en-US" w:eastAsia="zh-CN" w:bidi="ar-SA"/>
        </w:rPr>
      </w:pPr>
      <w:bookmarkStart w:id="10" w:name="_Toc17179"/>
      <w:r>
        <w:rPr>
          <w:rFonts w:hint="eastAsia" w:ascii="Times New Roman" w:hAnsi="Times New Roman" w:eastAsia="宋体" w:cs="Times New Roman"/>
          <w:lang w:val="en-US" w:eastAsia="zh-CN" w:bidi="ar-SA"/>
        </w:rPr>
        <w:t>生态保护红线</w:t>
      </w:r>
      <w:bookmarkEnd w:id="10"/>
    </w:p>
    <w:p w14:paraId="303854D5">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严格落实上位规划确定的生态保护红线及相关管控要求。</w:t>
      </w:r>
    </w:p>
    <w:p w14:paraId="077DAE23">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eastAsia" w:ascii="宋体" w:hAnsi="宋体" w:eastAsia="宋体" w:cs="宋体"/>
          <w:spacing w:val="-10"/>
          <w:sz w:val="24"/>
          <w:szCs w:val="24"/>
          <w:lang w:val="en-US" w:eastAsia="zh-CN" w:bidi="zh-CN"/>
        </w:rPr>
      </w:pPr>
      <w:r>
        <w:rPr>
          <w:rFonts w:hint="eastAsia" w:ascii="宋体" w:hAnsi="宋体" w:eastAsia="宋体" w:cs="宋体"/>
          <w:spacing w:val="-10"/>
          <w:sz w:val="24"/>
          <w:szCs w:val="24"/>
          <w:lang w:val="en-US" w:eastAsia="zh-CN" w:bidi="zh-CN"/>
        </w:rPr>
        <w:t>生态保护红线内自然保护地核心保护区外，禁止开发性、生产性建设活动，在符合法律法规的前提下，仅允许符合现行相关规定、对生态功能不造成破坏的有限人为活动。</w:t>
      </w:r>
      <w:r>
        <w:rPr>
          <w:rFonts w:hint="eastAsia" w:cs="宋体"/>
          <w:color w:val="FF0000"/>
          <w:spacing w:val="-10"/>
          <w:sz w:val="22"/>
          <w:szCs w:val="22"/>
          <w:lang w:val="en-US" w:eastAsia="zh-CN" w:bidi="zh-CN"/>
        </w:rPr>
        <w:t>（《自然资源部生态环境部国家林业和草原局关于加强生态保护红线管理的通知(试行)》）</w:t>
      </w:r>
      <w:r>
        <w:rPr>
          <w:rFonts w:hint="eastAsia" w:ascii="宋体" w:hAnsi="宋体" w:eastAsia="宋体" w:cs="宋体"/>
          <w:spacing w:val="-10"/>
          <w:sz w:val="24"/>
          <w:szCs w:val="24"/>
          <w:lang w:val="en-US" w:eastAsia="zh-CN" w:bidi="zh-CN"/>
        </w:rPr>
        <w:t>生态保护红线内自然保护区、风景名胜区、饮用水水源保护区等区域，依照法律法规执行。</w:t>
      </w:r>
    </w:p>
    <w:p w14:paraId="0BD6D7DA">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Times New Roman" w:hAnsi="Times New Roman" w:eastAsia="宋体" w:cs="Times New Roman"/>
          <w:lang w:val="en-US" w:eastAsia="zh-CN" w:bidi="ar-SA"/>
        </w:rPr>
      </w:pPr>
      <w:bookmarkStart w:id="11" w:name="_Toc5218"/>
      <w:r>
        <w:rPr>
          <w:rFonts w:hint="eastAsia" w:ascii="Times New Roman" w:hAnsi="Times New Roman" w:eastAsia="宋体" w:cs="Times New Roman"/>
          <w:lang w:val="en-US" w:eastAsia="zh-CN" w:bidi="ar-SA"/>
        </w:rPr>
        <w:t>灾害风险控制线</w:t>
      </w:r>
      <w:bookmarkEnd w:id="11"/>
    </w:p>
    <w:p w14:paraId="29EE2419">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严格落实上位规划确定的相关灾害风险控制线及相关管控要求。</w:t>
      </w:r>
    </w:p>
    <w:p w14:paraId="0AF5C8FE">
      <w:pPr>
        <w:pStyle w:val="7"/>
        <w:keepNext w:val="0"/>
        <w:keepLines w:val="0"/>
        <w:pageBreakBefore w:val="0"/>
        <w:widowControl w:val="0"/>
        <w:kinsoku/>
        <w:wordWrap/>
        <w:overflowPunct/>
        <w:topLinePunct w:val="0"/>
        <w:autoSpaceDE w:val="0"/>
        <w:autoSpaceDN w:val="0"/>
        <w:bidi w:val="0"/>
        <w:adjustRightInd/>
        <w:snapToGrid/>
        <w:spacing w:before="0" w:after="120" w:line="360" w:lineRule="auto"/>
        <w:ind w:left="0" w:leftChars="0" w:right="0" w:rightChars="0" w:firstLine="440" w:firstLineChars="200"/>
        <w:jc w:val="both"/>
        <w:textAlignment w:val="auto"/>
        <w:rPr>
          <w:rFonts w:hint="eastAsia" w:ascii="宋体" w:hAnsi="宋体" w:eastAsia="宋体" w:cs="宋体"/>
          <w:spacing w:val="-10"/>
          <w:sz w:val="24"/>
          <w:szCs w:val="24"/>
          <w:lang w:val="en-US" w:eastAsia="zh-CN" w:bidi="zh-CN"/>
        </w:rPr>
      </w:pPr>
      <w:r>
        <w:rPr>
          <w:rFonts w:hint="eastAsia" w:ascii="宋体" w:hAnsi="宋体" w:eastAsia="宋体" w:cs="宋体"/>
          <w:spacing w:val="-10"/>
          <w:sz w:val="24"/>
          <w:szCs w:val="24"/>
          <w:lang w:val="en-US" w:eastAsia="zh-CN" w:bidi="zh-CN"/>
        </w:rPr>
        <w:t>对地质灾害危险区范围内的房屋人员进行搬迁避让。在地质灾害易发区内进行工程建设，应当在可行性研究阶段进行地质灾害危险性评估，并将评估结果作为可行性研究报告的组成部分；可行性研究报告未包含地质灾害危险性评估结果的，不得批准其可行性研究报告。禁止在地质灾害危险区内从事爆破、削坡、进行工程建设以及其他可能引发地质灾害的活动。</w:t>
      </w:r>
      <w:r>
        <w:rPr>
          <w:rFonts w:hint="eastAsia" w:cs="宋体"/>
          <w:color w:val="FF0000"/>
          <w:spacing w:val="-10"/>
          <w:sz w:val="22"/>
          <w:szCs w:val="22"/>
          <w:lang w:val="en-US" w:eastAsia="zh-CN" w:bidi="zh-CN"/>
        </w:rPr>
        <w:t>（《地质灾害防治条例》）</w:t>
      </w:r>
    </w:p>
    <w:p w14:paraId="4C9AC4AF">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Times New Roman" w:hAnsi="Times New Roman" w:eastAsia="宋体" w:cs="Times New Roman"/>
          <w:lang w:val="en-US" w:eastAsia="zh-CN" w:bidi="ar-SA"/>
        </w:rPr>
      </w:pPr>
      <w:bookmarkStart w:id="12" w:name="_Toc27612"/>
      <w:r>
        <w:rPr>
          <w:rFonts w:hint="eastAsia" w:ascii="Times New Roman" w:hAnsi="Times New Roman" w:eastAsia="宋体" w:cs="Times New Roman"/>
          <w:lang w:val="en-US" w:eastAsia="zh-CN" w:bidi="ar-SA"/>
        </w:rPr>
        <w:t>河湖管理范围线</w:t>
      </w:r>
      <w:bookmarkEnd w:id="12"/>
    </w:p>
    <w:p w14:paraId="79F180F1">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严格落实上位规划确定的河湖管理线及相关管控要求。</w:t>
      </w:r>
    </w:p>
    <w:p w14:paraId="73097CC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default" w:ascii="宋体" w:hAnsi="宋体" w:eastAsia="宋体" w:cs="宋体"/>
          <w:spacing w:val="-10"/>
          <w:sz w:val="24"/>
          <w:szCs w:val="24"/>
          <w:lang w:val="en-US" w:eastAsia="zh-CN" w:bidi="zh-CN"/>
        </w:rPr>
      </w:pPr>
      <w:r>
        <w:rPr>
          <w:rFonts w:hint="default" w:ascii="宋体" w:hAnsi="宋体" w:eastAsia="宋体" w:cs="宋体"/>
          <w:spacing w:val="-10"/>
          <w:sz w:val="24"/>
          <w:szCs w:val="24"/>
          <w:lang w:val="en-US" w:eastAsia="zh-CN" w:bidi="zh-CN"/>
        </w:rPr>
        <w:t>建设项目涉及河道管理范围的，应符合防洪标准及有关技术要求，不得影响河势稳定、</w:t>
      </w:r>
      <w:r>
        <w:rPr>
          <w:rFonts w:hint="eastAsia" w:cs="宋体"/>
          <w:spacing w:val="-10"/>
          <w:sz w:val="24"/>
          <w:szCs w:val="24"/>
          <w:lang w:val="en-US" w:eastAsia="zh-CN" w:bidi="zh-CN"/>
        </w:rPr>
        <w:t>危及</w:t>
      </w:r>
      <w:r>
        <w:rPr>
          <w:rFonts w:hint="default" w:ascii="宋体" w:hAnsi="宋体" w:eastAsia="宋体" w:cs="宋体"/>
          <w:spacing w:val="-10"/>
          <w:sz w:val="24"/>
          <w:szCs w:val="24"/>
          <w:lang w:val="en-US" w:eastAsia="zh-CN" w:bidi="zh-CN"/>
        </w:rPr>
        <w:t>堤防安全。相关建设进行前应按河道管理有关规定报水利水务部门审批。</w:t>
      </w:r>
    </w:p>
    <w:p w14:paraId="3D1D6B7F">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Times New Roman" w:hAnsi="Times New Roman" w:eastAsia="宋体" w:cs="Times New Roman"/>
          <w:lang w:val="en-US" w:eastAsia="zh-CN" w:bidi="ar-SA"/>
        </w:rPr>
      </w:pPr>
      <w:bookmarkStart w:id="13" w:name="_Toc8560"/>
      <w:r>
        <w:rPr>
          <w:rFonts w:hint="eastAsia" w:ascii="Times New Roman" w:hAnsi="Times New Roman" w:eastAsia="宋体" w:cs="Times New Roman"/>
          <w:lang w:val="en-US" w:eastAsia="zh-CN" w:bidi="ar-SA"/>
        </w:rPr>
        <w:t>历史文化保护线</w:t>
      </w:r>
      <w:bookmarkEnd w:id="13"/>
    </w:p>
    <w:p w14:paraId="349976EA">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严格落实上位规划确定的各级各类历史文化保护线、古树名木及相关管控要求。</w:t>
      </w:r>
    </w:p>
    <w:p w14:paraId="7CCFB993">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ascii="Times New Roman" w:hAnsi="Times New Roman"/>
          <w:lang w:val="en-US"/>
        </w:rPr>
      </w:pPr>
      <w:r>
        <w:rPr>
          <w:rFonts w:hint="eastAsia" w:ascii="Times New Roman" w:hAnsi="Times New Roman"/>
          <w:lang w:val="en-US"/>
        </w:rPr>
        <w:t>严格保护村内不可移动文物、历史建筑、古树名木等历史文化遗产，按照文物保护相关规划要求执行。对暂未列入保护名录，但具有保护价值的宗祠、传统民居、古井、石雕石刻等，划定预控范围。核心保护范围内，除必要的基础设施和公共服务设施外，禁止新建、扩建活动</w:t>
      </w:r>
      <w:r>
        <w:rPr>
          <w:rFonts w:hint="eastAsia" w:ascii="Times New Roman" w:hAnsi="Times New Roman"/>
          <w:lang w:val="en-US" w:eastAsia="zh-CN"/>
        </w:rPr>
        <w:t>；</w:t>
      </w:r>
      <w:r>
        <w:rPr>
          <w:rFonts w:hint="eastAsia" w:ascii="Times New Roman" w:hAnsi="Times New Roman"/>
          <w:lang w:val="en-US"/>
        </w:rPr>
        <w:t>建设控制地带内，新建、扩建、改建、重建、修缮和装饰装修建(构</w:t>
      </w:r>
      <w:r>
        <w:rPr>
          <w:rFonts w:hint="eastAsia" w:ascii="Times New Roman" w:hAnsi="Times New Roman"/>
          <w:lang w:val="en-US" w:eastAsia="zh-CN"/>
        </w:rPr>
        <w:t>）</w:t>
      </w:r>
      <w:r>
        <w:rPr>
          <w:rFonts w:hint="eastAsia" w:ascii="Times New Roman" w:hAnsi="Times New Roman"/>
          <w:lang w:val="en-US"/>
        </w:rPr>
        <w:t>筑物的高度、体量、风格、色彩等要与核心保护范围的传统风貌相协调。</w:t>
      </w:r>
      <w:r>
        <w:rPr>
          <w:rFonts w:ascii="Segoe UI" w:hAnsi="Segoe UI" w:eastAsia="Segoe UI" w:cs="Segoe UI"/>
          <w:i w:val="0"/>
          <w:iCs w:val="0"/>
          <w:caps w:val="0"/>
          <w:color w:val="0D0D0D"/>
          <w:spacing w:val="0"/>
          <w:sz w:val="22"/>
          <w:szCs w:val="22"/>
          <w:shd w:val="clear" w:fill="EEEEEE"/>
        </w:rPr>
        <w:t>若涉及文物保护单位与历史建筑保护范围重叠，优先遵循《文物保护法》</w:t>
      </w:r>
      <w:r>
        <w:rPr>
          <w:rFonts w:hint="eastAsia" w:ascii="Times New Roman" w:hAnsi="Times New Roman"/>
          <w:lang w:val="en-US"/>
        </w:rPr>
        <w:t>。</w:t>
      </w:r>
    </w:p>
    <w:p w14:paraId="1FA60E85">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Times New Roman" w:hAnsi="Times New Roman" w:eastAsia="宋体" w:cs="Times New Roman"/>
          <w:lang w:val="en-US" w:eastAsia="zh-CN" w:bidi="ar-SA"/>
        </w:rPr>
      </w:pPr>
      <w:bookmarkStart w:id="14" w:name="_Toc13018"/>
      <w:r>
        <w:rPr>
          <w:rFonts w:hint="eastAsia" w:ascii="Times New Roman" w:hAnsi="Times New Roman" w:eastAsia="宋体" w:cs="Times New Roman"/>
          <w:lang w:val="en-US" w:eastAsia="zh-CN" w:bidi="ar-SA"/>
        </w:rPr>
        <w:t>村庄建设边界</w:t>
      </w:r>
      <w:bookmarkEnd w:id="14"/>
    </w:p>
    <w:p w14:paraId="65850E89">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各类乡村建设行为原则上应在村庄建设边界内开展。在满足环保、安全和相应规划设计规范的前提下，少量乡村公共服务和基础设施、零星乡村产业用地和散居农房可在村庄建设边界外进行建设。</w:t>
      </w:r>
    </w:p>
    <w:p w14:paraId="498A21C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default" w:ascii="宋体" w:hAnsi="宋体" w:eastAsia="宋体" w:cs="宋体"/>
          <w:spacing w:val="-10"/>
          <w:sz w:val="24"/>
          <w:szCs w:val="24"/>
          <w:lang w:val="en-US" w:eastAsia="zh-CN" w:bidi="zh-CN"/>
        </w:rPr>
      </w:pPr>
      <w:r>
        <w:rPr>
          <w:rFonts w:hint="default" w:ascii="宋体" w:hAnsi="宋体" w:eastAsia="宋体" w:cs="宋体"/>
          <w:spacing w:val="-10"/>
          <w:sz w:val="24"/>
          <w:szCs w:val="24"/>
          <w:lang w:val="en-US" w:eastAsia="zh-CN" w:bidi="zh-CN"/>
        </w:rPr>
        <w:t>落实国土空间总体规划村庄建设边界划定成果，村庄建设边界以经批准后的国土空间总体规划为准。</w:t>
      </w:r>
    </w:p>
    <w:p w14:paraId="3135829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default" w:ascii="宋体" w:hAnsi="宋体" w:eastAsia="宋体" w:cs="宋体"/>
          <w:spacing w:val="-10"/>
          <w:sz w:val="24"/>
          <w:szCs w:val="24"/>
          <w:lang w:val="en-US" w:eastAsia="zh-CN" w:bidi="zh-CN"/>
        </w:rPr>
      </w:pPr>
      <w:r>
        <w:rPr>
          <w:rFonts w:hint="default" w:ascii="宋体" w:hAnsi="宋体" w:eastAsia="宋体" w:cs="宋体"/>
          <w:spacing w:val="-10"/>
          <w:sz w:val="24"/>
          <w:szCs w:val="24"/>
          <w:lang w:val="en-US" w:eastAsia="zh-CN" w:bidi="zh-CN"/>
        </w:rPr>
        <w:t>引导乡村建设向村庄建设边界内集中。涉及新增建设用地的村民住宅、乡村基本公共服务设施原则上应布局在村庄建设边界内。</w:t>
      </w:r>
    </w:p>
    <w:p w14:paraId="3BB11423">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40" w:firstLineChars="200"/>
        <w:jc w:val="both"/>
        <w:textAlignment w:val="auto"/>
        <w:rPr>
          <w:rFonts w:hint="default" w:ascii="宋体" w:hAnsi="宋体" w:eastAsia="宋体" w:cs="宋体"/>
          <w:spacing w:val="-10"/>
          <w:sz w:val="24"/>
          <w:szCs w:val="24"/>
          <w:lang w:val="en-US" w:eastAsia="zh-CN" w:bidi="zh-CN"/>
        </w:rPr>
      </w:pPr>
      <w:r>
        <w:rPr>
          <w:rFonts w:hint="default" w:ascii="宋体" w:hAnsi="宋体" w:eastAsia="宋体" w:cs="宋体"/>
          <w:spacing w:val="-10"/>
          <w:sz w:val="24"/>
          <w:szCs w:val="24"/>
          <w:lang w:val="en-US" w:eastAsia="zh-CN" w:bidi="zh-CN"/>
        </w:rPr>
        <w:t>对村庄建设边界内的建设用地，加强对土地的节约集约利用，通过土地综合整治、城乡建设用地增减挂钩等方式优化土地资源配置保障各类村庄建设用地新增需求</w:t>
      </w:r>
      <w:r>
        <w:rPr>
          <w:rFonts w:hint="eastAsia" w:cs="宋体"/>
          <w:spacing w:val="-10"/>
          <w:sz w:val="24"/>
          <w:szCs w:val="24"/>
          <w:lang w:val="en-US" w:eastAsia="zh-CN" w:bidi="zh-CN"/>
        </w:rPr>
        <w:t>，</w:t>
      </w:r>
      <w:r>
        <w:rPr>
          <w:rFonts w:hint="default" w:ascii="宋体" w:hAnsi="宋体" w:eastAsia="宋体" w:cs="宋体"/>
          <w:spacing w:val="-10"/>
          <w:sz w:val="24"/>
          <w:szCs w:val="24"/>
          <w:lang w:val="en-US" w:eastAsia="zh-CN" w:bidi="zh-CN"/>
        </w:rPr>
        <w:t>控制村庄建设用地规模总量不增长。村庄建设边界内各类建设项目，应实行严格的规划许可和建设审批程序，确保所有新建、改建、扩建项目符合规划要求。</w:t>
      </w:r>
    </w:p>
    <w:p w14:paraId="1E547ABD">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Times New Roman" w:hAnsi="Times New Roman" w:eastAsia="宋体" w:cs="Times New Roman"/>
          <w:lang w:val="en-US" w:eastAsia="zh-CN" w:bidi="ar-SA"/>
        </w:rPr>
      </w:pPr>
      <w:bookmarkStart w:id="15" w:name="_Toc30111"/>
      <w:r>
        <w:rPr>
          <w:rFonts w:hint="eastAsia" w:ascii="Times New Roman" w:hAnsi="Times New Roman" w:eastAsia="宋体" w:cs="Times New Roman"/>
          <w:lang w:val="en-US" w:eastAsia="zh-CN" w:bidi="ar-SA"/>
        </w:rPr>
        <w:t>其他控制线</w:t>
      </w:r>
      <w:bookmarkEnd w:id="15"/>
    </w:p>
    <w:p w14:paraId="05F95B57">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严格落实上位规划确定的土壤污染风险管控区、饮用水源保护区等其他重要控制线，高电压等级电力线路、油气长输管道、高压燃气管道等重大基础设施廊道控制范围以及其他法律法规禁止建设建（构）筑物的区域。相关管控规则应按照国家及阳山县相关规定执行。</w:t>
      </w:r>
    </w:p>
    <w:p w14:paraId="4F612F6A">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440" w:firstLineChars="200"/>
        <w:textAlignment w:val="auto"/>
        <w:rPr>
          <w:rFonts w:hint="default" w:ascii="宋体" w:hAnsi="宋体" w:eastAsia="宋体" w:cs="宋体"/>
          <w:spacing w:val="-10"/>
          <w:sz w:val="24"/>
          <w:szCs w:val="24"/>
          <w:lang w:val="en-US" w:eastAsia="zh-CN" w:bidi="zh-CN"/>
        </w:rPr>
      </w:pPr>
      <w:r>
        <w:rPr>
          <w:rFonts w:hint="default" w:ascii="宋体" w:hAnsi="宋体" w:eastAsia="宋体" w:cs="宋体"/>
          <w:spacing w:val="-10"/>
          <w:sz w:val="24"/>
          <w:szCs w:val="24"/>
          <w:lang w:val="en-US" w:eastAsia="zh-CN" w:bidi="zh-CN"/>
        </w:rPr>
        <w:br w:type="page"/>
      </w:r>
    </w:p>
    <w:p w14:paraId="6F00AA57">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723" w:firstLineChars="200"/>
        <w:jc w:val="center"/>
        <w:textAlignment w:val="auto"/>
        <w:outlineLvl w:val="0"/>
        <w:rPr>
          <w:rFonts w:hint="default" w:ascii="Calibri" w:hAnsi="Calibri" w:eastAsia="宋体" w:cs="Times New Roman"/>
          <w:b/>
          <w:kern w:val="2"/>
          <w:sz w:val="36"/>
          <w:szCs w:val="32"/>
          <w:lang w:val="en-US" w:eastAsia="zh-CN" w:bidi="ar-SA"/>
        </w:rPr>
      </w:pPr>
      <w:bookmarkStart w:id="16" w:name="_Toc24568"/>
      <w:r>
        <w:rPr>
          <w:rFonts w:hint="eastAsia" w:ascii="Calibri" w:hAnsi="Calibri" w:cs="Times New Roman"/>
          <w:b/>
          <w:kern w:val="2"/>
          <w:sz w:val="36"/>
          <w:szCs w:val="32"/>
          <w:lang w:val="en-US" w:eastAsia="zh-CN" w:bidi="ar-SA"/>
        </w:rPr>
        <w:t>用地布局</w:t>
      </w:r>
      <w:bookmarkEnd w:id="16"/>
    </w:p>
    <w:p w14:paraId="1B46BCF7">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lang w:val="en-US" w:eastAsia="zh-CN"/>
        </w:rPr>
      </w:pPr>
      <w:bookmarkStart w:id="17" w:name="_Toc479"/>
      <w:r>
        <w:rPr>
          <w:rFonts w:hint="eastAsia"/>
          <w:lang w:val="en-US" w:eastAsia="zh-CN"/>
        </w:rPr>
        <w:t>村庄建设用地布局通用要求</w:t>
      </w:r>
      <w:bookmarkEnd w:id="17"/>
    </w:p>
    <w:p w14:paraId="552E4517">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eastAsia="宋体" w:cs="宋体"/>
          <w:b w:val="0"/>
          <w:bCs w:val="0"/>
          <w:sz w:val="24"/>
          <w:szCs w:val="24"/>
          <w:u w:val="none"/>
          <w:lang w:val="en-US" w:eastAsia="zh-CN" w:bidi="zh-CN"/>
        </w:rPr>
        <w:t>村民住宅、乡村公共服务设施、市政公用设施用地、乡村产业等用地布局应当遵循的一般原则：</w:t>
      </w:r>
    </w:p>
    <w:p w14:paraId="58DA2E76">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（一）</w:t>
      </w:r>
      <w:r>
        <w:rPr>
          <w:rFonts w:hint="eastAsia" w:ascii="Times New Roman" w:hAnsi="Times New Roman" w:eastAsia="宋体" w:cs="宋体"/>
          <w:b w:val="0"/>
          <w:bCs w:val="0"/>
          <w:sz w:val="24"/>
          <w:szCs w:val="24"/>
          <w:u w:val="none"/>
          <w:lang w:val="en-US" w:eastAsia="zh-CN" w:bidi="zh-CN"/>
        </w:rPr>
        <w:t>应选址在地质条件较好、环境适宜、交通方便的地段。</w:t>
      </w:r>
    </w:p>
    <w:p w14:paraId="1C045C68">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（二）</w:t>
      </w:r>
      <w:r>
        <w:rPr>
          <w:rFonts w:hint="eastAsia" w:ascii="Times New Roman" w:hAnsi="Times New Roman" w:eastAsia="宋体" w:cs="宋体"/>
          <w:b w:val="0"/>
          <w:bCs w:val="0"/>
          <w:sz w:val="24"/>
          <w:szCs w:val="24"/>
          <w:u w:val="none"/>
          <w:lang w:val="en-US" w:eastAsia="zh-CN" w:bidi="zh-CN"/>
        </w:rPr>
        <w:t>合理用地，节约用地，新增村庄建设用地应与农村土地综合整治相结合，充分利用原有闲置宅基地、村内空闲地、村周边的丘陵坡地或其他未利用地，少占或不占耕地。</w:t>
      </w:r>
    </w:p>
    <w:p w14:paraId="2D344912">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（三）</w:t>
      </w:r>
      <w:r>
        <w:rPr>
          <w:rFonts w:hint="eastAsia" w:ascii="Times New Roman" w:hAnsi="Times New Roman" w:eastAsia="宋体" w:cs="宋体"/>
          <w:b w:val="0"/>
          <w:bCs w:val="0"/>
          <w:sz w:val="24"/>
          <w:szCs w:val="24"/>
          <w:u w:val="none"/>
          <w:lang w:val="en-US" w:eastAsia="zh-CN" w:bidi="zh-CN"/>
        </w:rPr>
        <w:t>村庄住宅、公共服务设施不得在下列地点或地段选址：</w:t>
      </w:r>
    </w:p>
    <w:p w14:paraId="3E5DA530">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1.</w:t>
      </w:r>
      <w:r>
        <w:rPr>
          <w:rFonts w:hint="eastAsia" w:ascii="Times New Roman" w:hAnsi="Times New Roman" w:eastAsia="宋体" w:cs="宋体"/>
          <w:b w:val="0"/>
          <w:bCs w:val="0"/>
          <w:sz w:val="24"/>
          <w:szCs w:val="24"/>
          <w:u w:val="none"/>
          <w:lang w:val="en-US" w:eastAsia="zh-CN" w:bidi="zh-CN"/>
        </w:rPr>
        <w:t>山体滑坡、泥石流、危岩、塌陷等地质灾害易发区或次生灾害隐患易发地段、洪涝灾害危险地段。</w:t>
      </w:r>
    </w:p>
    <w:p w14:paraId="429712CF">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2.</w:t>
      </w:r>
      <w:r>
        <w:rPr>
          <w:rFonts w:hint="eastAsia" w:ascii="Times New Roman" w:hAnsi="Times New Roman" w:eastAsia="宋体" w:cs="宋体"/>
          <w:b w:val="0"/>
          <w:bCs w:val="0"/>
          <w:sz w:val="24"/>
          <w:szCs w:val="24"/>
          <w:u w:val="none"/>
          <w:lang w:val="en-US" w:eastAsia="zh-CN" w:bidi="zh-CN"/>
        </w:rPr>
        <w:t>永久基本农田、生态保护红线、永久基本农田储备区、自然保护地、生态空间管控区域、饮用水源一级保护区、风景名胜核心保护区、生态公益林、不可移动文物、历史建筑及古树名木本体范围、水源保护区</w:t>
      </w:r>
      <w:r>
        <w:rPr>
          <w:rFonts w:hint="eastAsia" w:ascii="Times New Roman" w:hAnsi="Times New Roman" w:cs="宋体"/>
          <w:b w:val="0"/>
          <w:bCs w:val="0"/>
          <w:sz w:val="24"/>
          <w:szCs w:val="24"/>
          <w:u w:val="none"/>
          <w:lang w:val="en-US" w:eastAsia="zh-CN" w:bidi="zh-CN"/>
        </w:rPr>
        <w:t>等</w:t>
      </w:r>
      <w:r>
        <w:rPr>
          <w:rFonts w:hint="eastAsia" w:ascii="Times New Roman" w:hAnsi="Times New Roman" w:eastAsia="宋体" w:cs="宋体"/>
          <w:b w:val="0"/>
          <w:bCs w:val="0"/>
          <w:sz w:val="24"/>
          <w:szCs w:val="24"/>
          <w:u w:val="none"/>
          <w:lang w:val="en-US" w:eastAsia="zh-CN" w:bidi="zh-CN"/>
        </w:rPr>
        <w:t>。</w:t>
      </w:r>
    </w:p>
    <w:p w14:paraId="48A2649E">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3.</w:t>
      </w:r>
      <w:r>
        <w:rPr>
          <w:rFonts w:hint="eastAsia" w:ascii="Times New Roman" w:hAnsi="Times New Roman" w:eastAsia="宋体" w:cs="宋体"/>
          <w:b w:val="0"/>
          <w:bCs w:val="0"/>
          <w:sz w:val="24"/>
          <w:szCs w:val="24"/>
          <w:u w:val="none"/>
          <w:lang w:val="en-US" w:eastAsia="zh-CN" w:bidi="zh-CN"/>
        </w:rPr>
        <w:t>河道管理范围及水库、渠道控制区范围内。</w:t>
      </w:r>
    </w:p>
    <w:p w14:paraId="72113729">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4.</w:t>
      </w:r>
      <w:r>
        <w:rPr>
          <w:rFonts w:hint="eastAsia" w:ascii="Times New Roman" w:hAnsi="Times New Roman" w:eastAsia="宋体" w:cs="宋体"/>
          <w:b w:val="0"/>
          <w:bCs w:val="0"/>
          <w:sz w:val="24"/>
          <w:szCs w:val="24"/>
          <w:u w:val="none"/>
          <w:lang w:val="en-US" w:eastAsia="zh-CN" w:bidi="zh-CN"/>
        </w:rPr>
        <w:t>危险化学品生产企业、危险化学品储存仓库或危房边。</w:t>
      </w:r>
    </w:p>
    <w:p w14:paraId="7632FD10">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5.</w:t>
      </w:r>
      <w:r>
        <w:rPr>
          <w:rFonts w:hint="eastAsia" w:ascii="Times New Roman" w:hAnsi="Times New Roman" w:eastAsia="宋体" w:cs="宋体"/>
          <w:b w:val="0"/>
          <w:bCs w:val="0"/>
          <w:sz w:val="24"/>
          <w:szCs w:val="24"/>
          <w:u w:val="none"/>
          <w:lang w:val="en-US" w:eastAsia="zh-CN" w:bidi="zh-CN"/>
        </w:rPr>
        <w:t>输油、输气管道上、高压供电走廊下。</w:t>
      </w:r>
    </w:p>
    <w:p w14:paraId="192A67F5">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480" w:firstLineChars="200"/>
        <w:textAlignment w:val="auto"/>
        <w:rPr>
          <w:rFonts w:hint="eastAsia" w:ascii="Times New Roman" w:hAnsi="Times New Roman" w:eastAsia="宋体" w:cs="宋体"/>
          <w:b w:val="0"/>
          <w:bCs w:val="0"/>
          <w:sz w:val="24"/>
          <w:szCs w:val="24"/>
          <w:u w:val="none"/>
          <w:lang w:val="en-US" w:eastAsia="zh-CN" w:bidi="zh-CN"/>
        </w:rPr>
      </w:pPr>
      <w:r>
        <w:rPr>
          <w:rFonts w:hint="eastAsia" w:ascii="Times New Roman" w:hAnsi="Times New Roman" w:cs="宋体"/>
          <w:b w:val="0"/>
          <w:bCs w:val="0"/>
          <w:sz w:val="24"/>
          <w:szCs w:val="24"/>
          <w:u w:val="none"/>
          <w:lang w:val="en-US" w:eastAsia="zh-CN" w:bidi="zh-CN"/>
        </w:rPr>
        <w:t>6.</w:t>
      </w:r>
      <w:r>
        <w:rPr>
          <w:rFonts w:hint="eastAsia" w:ascii="Times New Roman" w:hAnsi="Times New Roman" w:eastAsia="宋体" w:cs="宋体"/>
          <w:b w:val="0"/>
          <w:bCs w:val="0"/>
          <w:sz w:val="24"/>
          <w:szCs w:val="24"/>
          <w:u w:val="none"/>
          <w:lang w:val="en-US" w:eastAsia="zh-CN" w:bidi="zh-CN"/>
        </w:rPr>
        <w:t>法律、法规禁止建设建（构）筑物的其他区域。</w:t>
      </w:r>
    </w:p>
    <w:p w14:paraId="1EF6063D">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lang w:val="en-US" w:eastAsia="zh-CN"/>
        </w:rPr>
      </w:pPr>
      <w:bookmarkStart w:id="18" w:name="_Toc20097"/>
      <w:r>
        <w:rPr>
          <w:rFonts w:hint="eastAsia"/>
          <w:lang w:val="en-US" w:eastAsia="zh-CN"/>
        </w:rPr>
        <w:t>村民住房布局要求</w:t>
      </w:r>
      <w:bookmarkEnd w:id="18"/>
    </w:p>
    <w:p w14:paraId="2143E1AA">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除通用要求外，村民住宅选址布局还应当符合以下要求：</w:t>
      </w:r>
    </w:p>
    <w:p w14:paraId="1248CE57">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cs="宋体"/>
          <w:b w:val="0"/>
          <w:bCs w:val="0"/>
          <w:u w:val="none"/>
          <w:lang w:val="en-US" w:eastAsia="zh-CN"/>
        </w:rPr>
        <w:t>（一）</w:t>
      </w:r>
      <w:r>
        <w:rPr>
          <w:rFonts w:hint="eastAsia" w:ascii="Times New Roman" w:hAnsi="Times New Roman" w:eastAsia="宋体" w:cs="宋体"/>
          <w:b w:val="0"/>
          <w:bCs w:val="0"/>
          <w:u w:val="none"/>
          <w:lang w:val="en-US" w:eastAsia="zh-CN"/>
        </w:rPr>
        <w:t>严格落实农村乱占耕地建房“八不准”，严格落实“一户一宅”制度。</w:t>
      </w:r>
      <w:r>
        <w:rPr>
          <w:rFonts w:hint="eastAsia" w:ascii="Times New Roman" w:hAnsi="Times New Roman" w:cs="宋体"/>
          <w:b w:val="0"/>
          <w:bCs w:val="0"/>
          <w:u w:val="none"/>
          <w:lang w:val="en-US" w:eastAsia="zh-CN"/>
        </w:rPr>
        <w:t>新建、改建或扩建农房应于村庄建设边界内选址，通过存量用地腾挪释放潜力空间予以安排，优先利用未利用地，严格避免占用耕地。确需在村庄建设边界外新增散居村民住宅用地的，应在保障安全及满足底线管控要求的前提下，经批准可使用规划“留白”机动指标，在严格控制比例与面积的基础上安排少量建设用地予以保障，并优先使用未利用地，避免占用耕地。</w:t>
      </w:r>
    </w:p>
    <w:p w14:paraId="60B59CD3">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cs="宋体"/>
          <w:b w:val="0"/>
          <w:bCs w:val="0"/>
          <w:u w:val="none"/>
          <w:lang w:val="en-US" w:eastAsia="zh-CN"/>
        </w:rPr>
        <w:t>（二）</w:t>
      </w:r>
      <w:r>
        <w:rPr>
          <w:rFonts w:hint="eastAsia" w:ascii="Times New Roman" w:hAnsi="Times New Roman" w:eastAsia="宋体" w:cs="宋体"/>
          <w:b w:val="0"/>
          <w:bCs w:val="0"/>
          <w:u w:val="none"/>
          <w:lang w:val="en-US" w:eastAsia="zh-CN"/>
        </w:rPr>
        <w:t>引导集聚、预留空间，有利生产、方便生活。</w:t>
      </w:r>
    </w:p>
    <w:p w14:paraId="5881263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cs="宋体"/>
          <w:b w:val="0"/>
          <w:bCs w:val="0"/>
          <w:u w:val="none"/>
          <w:lang w:val="en-US" w:eastAsia="zh-CN"/>
        </w:rPr>
        <w:t>（三）</w:t>
      </w:r>
      <w:r>
        <w:rPr>
          <w:rFonts w:hint="eastAsia" w:ascii="Times New Roman" w:hAnsi="Times New Roman" w:eastAsia="宋体" w:cs="宋体"/>
          <w:b w:val="0"/>
          <w:bCs w:val="0"/>
          <w:u w:val="none"/>
          <w:lang w:val="en-US" w:eastAsia="zh-CN"/>
        </w:rPr>
        <w:t>严格控制利用山体切坡作为建设选址用地，确实无法避让的，应治理达到安全标准及相关要求后方可作为选址用地。</w:t>
      </w:r>
    </w:p>
    <w:p w14:paraId="79BBF1D9">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cs="宋体"/>
          <w:b w:val="0"/>
          <w:bCs w:val="0"/>
          <w:u w:val="none"/>
          <w:lang w:val="en-US" w:eastAsia="zh-CN"/>
        </w:rPr>
        <w:t>（四）</w:t>
      </w:r>
      <w:r>
        <w:rPr>
          <w:rFonts w:hint="eastAsia" w:ascii="Times New Roman" w:hAnsi="Times New Roman" w:eastAsia="宋体" w:cs="宋体"/>
          <w:b w:val="0"/>
          <w:bCs w:val="0"/>
          <w:u w:val="none"/>
          <w:lang w:val="en-US" w:eastAsia="zh-CN"/>
        </w:rPr>
        <w:t>符合上位及相关规划针对住宅建设选址的管控要求。</w:t>
      </w:r>
    </w:p>
    <w:p w14:paraId="2964045F">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cs="宋体"/>
          <w:b w:val="0"/>
          <w:bCs w:val="0"/>
          <w:u w:val="none"/>
          <w:lang w:val="en-US" w:eastAsia="zh-CN"/>
        </w:rPr>
        <w:t>（五）</w:t>
      </w:r>
      <w:r>
        <w:rPr>
          <w:rFonts w:hint="eastAsia" w:ascii="Times New Roman" w:hAnsi="Times New Roman" w:eastAsia="宋体" w:cs="宋体"/>
          <w:b w:val="0"/>
          <w:bCs w:val="0"/>
          <w:u w:val="none"/>
          <w:lang w:val="en-US" w:eastAsia="zh-CN"/>
        </w:rPr>
        <w:t>村民新建住宅选址应征求用地建房相邻权益人的意见，并经村民小组会议审查讨论，三分之二以上村民小组成员或者三分之二以上村民代表同意，公示无异议。</w:t>
      </w:r>
    </w:p>
    <w:p w14:paraId="793231E2">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cs="宋体"/>
          <w:b w:val="0"/>
          <w:bCs w:val="0"/>
          <w:u w:val="none"/>
          <w:lang w:val="en-US" w:eastAsia="zh-CN"/>
        </w:rPr>
        <w:t>（六）</w:t>
      </w:r>
      <w:r>
        <w:rPr>
          <w:rFonts w:hint="eastAsia" w:ascii="Times New Roman" w:hAnsi="Times New Roman" w:eastAsia="宋体" w:cs="宋体"/>
          <w:b w:val="0"/>
          <w:bCs w:val="0"/>
          <w:u w:val="none"/>
          <w:lang w:val="en-US" w:eastAsia="zh-CN"/>
        </w:rPr>
        <w:t>农村宅基地不单独控制容积率、建筑密度，以户均面积和高度管控为主。新建、改建、现状改（扩）建农村住宅用地面积平原地区控制在80平方米以内，丘陵地区不超过120平方米，山区不超过150平方米。</w:t>
      </w:r>
    </w:p>
    <w:p w14:paraId="1ADE2907">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lang w:val="en-US" w:eastAsia="zh-CN"/>
        </w:rPr>
      </w:pPr>
      <w:bookmarkStart w:id="19" w:name="_Toc4619"/>
      <w:r>
        <w:rPr>
          <w:rFonts w:hint="eastAsia"/>
          <w:lang w:val="en-US" w:eastAsia="zh-CN"/>
        </w:rPr>
        <w:t>公共服务设施布局要求</w:t>
      </w:r>
      <w:bookmarkEnd w:id="19"/>
    </w:p>
    <w:p w14:paraId="1589A620">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lang w:val="en-US" w:eastAsia="zh-CN"/>
        </w:rPr>
      </w:pPr>
      <w:r>
        <w:rPr>
          <w:rFonts w:hint="default"/>
          <w:lang w:val="en-US" w:eastAsia="zh-CN"/>
        </w:rPr>
        <w:t>综合考虑多数乡村居民的出行意愿、出行方式以及现状公共服务设施的建设状况，按照村委所在自然村和非村委所在自然村两个层级合理配置公共服务设施，并根据服务功能进行布局，配套标准宜按照附表3执行。</w:t>
      </w:r>
    </w:p>
    <w:p w14:paraId="62742433">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outlineLvl w:val="9"/>
        <w:rPr>
          <w:rFonts w:hint="eastAsia"/>
          <w:lang w:val="en-US" w:eastAsia="zh-CN"/>
        </w:rPr>
      </w:pPr>
      <w:r>
        <w:rPr>
          <w:rFonts w:hint="eastAsia"/>
          <w:lang w:val="en-US" w:eastAsia="zh-CN"/>
        </w:rPr>
        <w:t>表3-1乡村公共服务设置配置表</w:t>
      </w:r>
    </w:p>
    <w:tbl>
      <w:tblPr>
        <w:tblStyle w:val="16"/>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23"/>
        <w:gridCol w:w="2164"/>
        <w:gridCol w:w="1224"/>
        <w:gridCol w:w="1250"/>
        <w:gridCol w:w="3743"/>
      </w:tblGrid>
      <w:tr w14:paraId="27D37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7DF0A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分类</w:t>
            </w:r>
          </w:p>
        </w:tc>
        <w:tc>
          <w:tcPr>
            <w:tcW w:w="11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8868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乡村公共服务设施名称</w:t>
            </w:r>
          </w:p>
        </w:tc>
        <w:tc>
          <w:tcPr>
            <w:tcW w:w="131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CA3A51E">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圈层划分</w:t>
            </w:r>
          </w:p>
        </w:tc>
        <w:tc>
          <w:tcPr>
            <w:tcW w:w="199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5D250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配置要求</w:t>
            </w:r>
          </w:p>
        </w:tc>
      </w:tr>
      <w:tr w14:paraId="58F69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69DEB">
            <w:pPr>
              <w:jc w:val="center"/>
              <w:rPr>
                <w:rFonts w:hint="eastAsia" w:ascii="宋体" w:hAnsi="宋体" w:eastAsia="宋体" w:cs="宋体"/>
                <w:b/>
                <w:bCs/>
                <w:i w:val="0"/>
                <w:iCs w:val="0"/>
                <w:color w:val="000000"/>
                <w:sz w:val="24"/>
                <w:szCs w:val="24"/>
                <w:u w:val="none"/>
              </w:rPr>
            </w:pPr>
          </w:p>
        </w:tc>
        <w:tc>
          <w:tcPr>
            <w:tcW w:w="11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D9771">
            <w:pPr>
              <w:jc w:val="center"/>
              <w:rPr>
                <w:rFonts w:hint="eastAsia" w:ascii="宋体" w:hAnsi="宋体" w:eastAsia="宋体" w:cs="宋体"/>
                <w:b/>
                <w:bCs/>
                <w:i w:val="0"/>
                <w:iCs w:val="0"/>
                <w:color w:val="000000"/>
                <w:sz w:val="24"/>
                <w:szCs w:val="24"/>
                <w:u w:val="none"/>
              </w:rPr>
            </w:pPr>
          </w:p>
        </w:tc>
        <w:tc>
          <w:tcPr>
            <w:tcW w:w="6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88AEB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村委所在自然村</w:t>
            </w:r>
          </w:p>
        </w:tc>
        <w:tc>
          <w:tcPr>
            <w:tcW w:w="66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5425D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非村委所在自然村</w:t>
            </w:r>
          </w:p>
        </w:tc>
        <w:tc>
          <w:tcPr>
            <w:tcW w:w="19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67C07D">
            <w:pPr>
              <w:jc w:val="center"/>
              <w:rPr>
                <w:rFonts w:hint="eastAsia" w:ascii="宋体" w:hAnsi="宋体" w:eastAsia="宋体" w:cs="宋体"/>
                <w:b/>
                <w:bCs/>
                <w:i w:val="0"/>
                <w:iCs w:val="0"/>
                <w:color w:val="000000"/>
                <w:sz w:val="24"/>
                <w:szCs w:val="24"/>
                <w:u w:val="none"/>
              </w:rPr>
            </w:pPr>
          </w:p>
        </w:tc>
      </w:tr>
      <w:tr w14:paraId="17A24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F222F8">
            <w:pPr>
              <w:jc w:val="center"/>
              <w:rPr>
                <w:rFonts w:hint="eastAsia" w:ascii="宋体" w:hAnsi="宋体" w:eastAsia="宋体" w:cs="宋体"/>
                <w:b/>
                <w:bCs/>
                <w:i w:val="0"/>
                <w:iCs w:val="0"/>
                <w:color w:val="000000"/>
                <w:sz w:val="24"/>
                <w:szCs w:val="24"/>
                <w:u w:val="none"/>
              </w:rPr>
            </w:pPr>
          </w:p>
        </w:tc>
        <w:tc>
          <w:tcPr>
            <w:tcW w:w="11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4AEEB">
            <w:pPr>
              <w:jc w:val="center"/>
              <w:rPr>
                <w:rFonts w:hint="eastAsia" w:ascii="宋体" w:hAnsi="宋体" w:eastAsia="宋体" w:cs="宋体"/>
                <w:b/>
                <w:bCs/>
                <w:i w:val="0"/>
                <w:iCs w:val="0"/>
                <w:color w:val="000000"/>
                <w:sz w:val="24"/>
                <w:szCs w:val="24"/>
                <w:u w:val="none"/>
              </w:rPr>
            </w:pPr>
          </w:p>
        </w:tc>
        <w:tc>
          <w:tcPr>
            <w:tcW w:w="6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4804C">
            <w:pPr>
              <w:jc w:val="center"/>
              <w:rPr>
                <w:rFonts w:hint="eastAsia" w:ascii="宋体" w:hAnsi="宋体" w:eastAsia="宋体" w:cs="宋体"/>
                <w:b/>
                <w:bCs/>
                <w:i w:val="0"/>
                <w:iCs w:val="0"/>
                <w:color w:val="000000"/>
                <w:sz w:val="24"/>
                <w:szCs w:val="24"/>
                <w:u w:val="none"/>
              </w:rPr>
            </w:pPr>
          </w:p>
        </w:tc>
        <w:tc>
          <w:tcPr>
            <w:tcW w:w="66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63C06">
            <w:pPr>
              <w:jc w:val="center"/>
              <w:rPr>
                <w:rFonts w:hint="eastAsia" w:ascii="宋体" w:hAnsi="宋体" w:eastAsia="宋体" w:cs="宋体"/>
                <w:b/>
                <w:bCs/>
                <w:i w:val="0"/>
                <w:iCs w:val="0"/>
                <w:color w:val="000000"/>
                <w:sz w:val="24"/>
                <w:szCs w:val="24"/>
                <w:u w:val="none"/>
              </w:rPr>
            </w:pPr>
          </w:p>
        </w:tc>
        <w:tc>
          <w:tcPr>
            <w:tcW w:w="199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F783F">
            <w:pPr>
              <w:jc w:val="center"/>
              <w:rPr>
                <w:rFonts w:hint="eastAsia" w:ascii="宋体" w:hAnsi="宋体" w:eastAsia="宋体" w:cs="宋体"/>
                <w:b/>
                <w:bCs/>
                <w:i w:val="0"/>
                <w:iCs w:val="0"/>
                <w:color w:val="000000"/>
                <w:sz w:val="24"/>
                <w:szCs w:val="24"/>
                <w:u w:val="none"/>
              </w:rPr>
            </w:pPr>
          </w:p>
        </w:tc>
      </w:tr>
      <w:tr w14:paraId="33DC8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80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终身教育</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89E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幼儿园</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50C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960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68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宜独立占地</w:t>
            </w:r>
          </w:p>
        </w:tc>
      </w:tr>
      <w:tr w14:paraId="7B87A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A44EE">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B8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小学</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53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C2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99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宜独立占地</w:t>
            </w:r>
          </w:p>
        </w:tc>
      </w:tr>
      <w:tr w14:paraId="591D2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22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文化活动</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48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文化活动室</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4E0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01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876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宜独立占地</w:t>
            </w:r>
          </w:p>
        </w:tc>
      </w:tr>
      <w:tr w14:paraId="18178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790C">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437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农家书屋</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B2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68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19B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宜结合公共服务中心设置</w:t>
            </w:r>
          </w:p>
        </w:tc>
      </w:tr>
      <w:tr w14:paraId="2E7B5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6B4BA">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06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红白喜事厅</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C9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484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67F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宜结合公共服务中心设置</w:t>
            </w:r>
          </w:p>
        </w:tc>
      </w:tr>
      <w:tr w14:paraId="07C52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D5A3D">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E50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特色民族活动点</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AF1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4B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D5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宜结合公共服务中心设置</w:t>
            </w:r>
          </w:p>
        </w:tc>
      </w:tr>
      <w:tr w14:paraId="3B98F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96C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体育健身</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1A0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健身广场</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AE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20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3FDC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宜结合公共服务中心设置</w:t>
            </w:r>
          </w:p>
        </w:tc>
      </w:tr>
      <w:tr w14:paraId="011E4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C4A62">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055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篮球场</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927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BE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EC4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宜结合公共服务中心设置</w:t>
            </w:r>
          </w:p>
        </w:tc>
      </w:tr>
      <w:tr w14:paraId="2C666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F54F4">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FA7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室外乒乓球场</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99B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EB4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8E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宜结合公共服务中心设置</w:t>
            </w:r>
          </w:p>
        </w:tc>
      </w:tr>
      <w:tr w14:paraId="3DB168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C1DD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商业服务</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6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便利农家店</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520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79F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BF4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宜结合村民住宅设置</w:t>
            </w:r>
          </w:p>
        </w:tc>
      </w:tr>
      <w:tr w14:paraId="3019D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8D6C2">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6F7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金融电信服务点</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83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518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B999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宜结合公共服务中心设置</w:t>
            </w:r>
          </w:p>
        </w:tc>
      </w:tr>
      <w:tr w14:paraId="44009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346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行政管理</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D49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村务室</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365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101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3FF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宜结合党群服务中心设置</w:t>
            </w:r>
          </w:p>
        </w:tc>
      </w:tr>
      <w:tr w14:paraId="47A2D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490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养老服务</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70D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老人日间照料中心</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82C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C9D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2A6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宜设置在建筑首层，并设专用出入口</w:t>
            </w:r>
          </w:p>
        </w:tc>
      </w:tr>
      <w:tr w14:paraId="044BA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28234">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CCD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老年人活动中心</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D70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947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40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宜设置在建筑首层，并设专用出入口</w:t>
            </w:r>
          </w:p>
        </w:tc>
      </w:tr>
      <w:tr w14:paraId="380A7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83218">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B64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农村幸福院</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B5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9D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FC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宜独立占地</w:t>
            </w:r>
          </w:p>
        </w:tc>
      </w:tr>
      <w:tr w14:paraId="5F7F3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09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就业引导</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4DE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物流配送点</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5AF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06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7B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宜在交通便利处设置</w:t>
            </w:r>
          </w:p>
        </w:tc>
      </w:tr>
      <w:tr w14:paraId="45CC3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63E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日常出行</w:t>
            </w: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1CB5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村级客运站点</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C3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9E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13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宜独立占地</w:t>
            </w:r>
          </w:p>
        </w:tc>
      </w:tr>
      <w:tr w14:paraId="52D96B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176A1">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0F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公交站点</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92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E43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99C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宜独立占地</w:t>
            </w:r>
          </w:p>
        </w:tc>
      </w:tr>
      <w:tr w14:paraId="6E59B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1F1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旅游设施</w:t>
            </w:r>
          </w:p>
        </w:tc>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3A3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旅游集散中心（游客中心）</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51E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63B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40E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宜独立占地</w:t>
            </w:r>
          </w:p>
        </w:tc>
      </w:tr>
      <w:tr w14:paraId="42EB11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E3D68">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B16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民宿</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373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5C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CAC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宜结合村民住宅设置</w:t>
            </w:r>
          </w:p>
        </w:tc>
      </w:tr>
      <w:tr w14:paraId="253EC8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9325">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B1E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村史馆</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8EE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16A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C5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宜结合公共服务中心设置</w:t>
            </w:r>
          </w:p>
        </w:tc>
      </w:tr>
      <w:tr w14:paraId="1A7D1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10E85">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D9F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农家乐</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2B0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D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03C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宜结合村民住宅设置</w:t>
            </w:r>
          </w:p>
        </w:tc>
      </w:tr>
      <w:tr w14:paraId="03F20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32E2C">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314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旅游公共厕所</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0E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9F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723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宜结合旅游集散中心设置</w:t>
            </w:r>
          </w:p>
        </w:tc>
      </w:tr>
      <w:tr w14:paraId="5DEF0F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A36E7">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198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旅游标识牌</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5C2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2C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AC9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宜结合旅游集散中心设置</w:t>
            </w:r>
          </w:p>
        </w:tc>
      </w:tr>
      <w:tr w14:paraId="089B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jc w:val="center"/>
        </w:trPr>
        <w:tc>
          <w:tcPr>
            <w:tcW w:w="54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EB58B">
            <w:pPr>
              <w:jc w:val="center"/>
              <w:rPr>
                <w:rFonts w:hint="eastAsia" w:ascii="宋体" w:hAnsi="宋体" w:eastAsia="宋体" w:cs="宋体"/>
                <w:i w:val="0"/>
                <w:iCs w:val="0"/>
                <w:color w:val="000000"/>
                <w:sz w:val="22"/>
                <w:szCs w:val="22"/>
                <w:u w:val="none"/>
              </w:rPr>
            </w:pPr>
          </w:p>
        </w:tc>
        <w:tc>
          <w:tcPr>
            <w:tcW w:w="11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885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旅游大巴车停车场</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59F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6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53F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9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DCD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宜结合旅游集散中心设置</w:t>
            </w:r>
          </w:p>
        </w:tc>
      </w:tr>
    </w:tbl>
    <w:p w14:paraId="2333189B">
      <w:pPr>
        <w:spacing w:before="67" w:line="230" w:lineRule="auto"/>
        <w:ind w:left="125"/>
        <w:rPr>
          <w:rFonts w:ascii="仿宋" w:hAnsi="仿宋" w:eastAsia="仿宋" w:cs="仿宋"/>
          <w:sz w:val="24"/>
          <w:szCs w:val="24"/>
        </w:rPr>
      </w:pPr>
      <w:r>
        <w:rPr>
          <w:rFonts w:ascii="仿宋" w:hAnsi="仿宋" w:eastAsia="仿宋" w:cs="仿宋"/>
          <w:spacing w:val="6"/>
          <w:sz w:val="24"/>
          <w:szCs w:val="24"/>
        </w:rPr>
        <w:t>注：</w:t>
      </w:r>
      <w:r>
        <w:rPr>
          <w:rFonts w:ascii="Times New Roman" w:hAnsi="Times New Roman" w:eastAsia="Times New Roman" w:cs="Times New Roman"/>
          <w:spacing w:val="6"/>
          <w:sz w:val="24"/>
          <w:szCs w:val="24"/>
        </w:rPr>
        <w:t>1.</w:t>
      </w:r>
      <w:r>
        <w:rPr>
          <w:rFonts w:ascii="仿宋" w:hAnsi="仿宋" w:eastAsia="仿宋" w:cs="仿宋"/>
          <w:spacing w:val="6"/>
          <w:sz w:val="24"/>
          <w:szCs w:val="24"/>
        </w:rPr>
        <w:t>●代表该项目为必建项目</w:t>
      </w:r>
      <w:r>
        <w:rPr>
          <w:rFonts w:hint="eastAsia" w:ascii="仿宋" w:hAnsi="仿宋" w:eastAsia="仿宋" w:cs="仿宋"/>
          <w:spacing w:val="6"/>
          <w:sz w:val="24"/>
          <w:szCs w:val="24"/>
          <w:lang w:eastAsia="zh-CN"/>
        </w:rPr>
        <w:t>，</w:t>
      </w:r>
      <w:r>
        <w:rPr>
          <w:rFonts w:ascii="仿宋" w:hAnsi="仿宋" w:eastAsia="仿宋" w:cs="仿宋"/>
          <w:spacing w:val="5"/>
          <w:sz w:val="24"/>
          <w:szCs w:val="24"/>
        </w:rPr>
        <w:t>○代表该项目为可选项目；</w:t>
      </w:r>
    </w:p>
    <w:p w14:paraId="77338843">
      <w:pPr>
        <w:spacing w:before="175" w:line="361" w:lineRule="auto"/>
        <w:ind w:left="120" w:right="120" w:hanging="6"/>
        <w:rPr>
          <w:rFonts w:ascii="仿宋" w:hAnsi="仿宋" w:eastAsia="仿宋" w:cs="仿宋"/>
          <w:sz w:val="24"/>
          <w:szCs w:val="24"/>
        </w:rPr>
      </w:pPr>
      <w:r>
        <w:rPr>
          <w:rFonts w:ascii="仿宋" w:hAnsi="仿宋" w:eastAsia="仿宋" w:cs="仿宋"/>
          <w:spacing w:val="7"/>
          <w:sz w:val="24"/>
          <w:szCs w:val="24"/>
        </w:rPr>
        <w:t>2.独立占地项目按照审查通过的建设工程设计方案实施</w:t>
      </w:r>
      <w:r>
        <w:rPr>
          <w:rFonts w:hint="eastAsia" w:ascii="仿宋" w:hAnsi="仿宋" w:eastAsia="仿宋" w:cs="仿宋"/>
          <w:spacing w:val="7"/>
          <w:sz w:val="24"/>
          <w:szCs w:val="24"/>
          <w:lang w:eastAsia="zh-CN"/>
        </w:rPr>
        <w:t>，</w:t>
      </w:r>
      <w:r>
        <w:rPr>
          <w:rFonts w:ascii="仿宋" w:hAnsi="仿宋" w:eastAsia="仿宋" w:cs="仿宋"/>
          <w:spacing w:val="7"/>
          <w:sz w:val="24"/>
          <w:szCs w:val="24"/>
        </w:rPr>
        <w:t>具体项目方案审</w:t>
      </w:r>
      <w:r>
        <w:rPr>
          <w:rFonts w:ascii="仿宋" w:hAnsi="仿宋" w:eastAsia="仿宋" w:cs="仿宋"/>
          <w:spacing w:val="11"/>
          <w:sz w:val="24"/>
          <w:szCs w:val="24"/>
        </w:rPr>
        <w:t>查由相关</w:t>
      </w:r>
      <w:r>
        <w:rPr>
          <w:rFonts w:hint="eastAsia" w:ascii="仿宋" w:hAnsi="仿宋" w:eastAsia="仿宋" w:cs="仿宋"/>
          <w:spacing w:val="11"/>
          <w:sz w:val="24"/>
          <w:szCs w:val="24"/>
          <w:lang w:val="en-US" w:eastAsia="zh-CN"/>
        </w:rPr>
        <w:t>行</w:t>
      </w:r>
      <w:r>
        <w:rPr>
          <w:rFonts w:ascii="仿宋" w:hAnsi="仿宋" w:eastAsia="仿宋" w:cs="仿宋"/>
          <w:spacing w:val="11"/>
          <w:sz w:val="24"/>
          <w:szCs w:val="24"/>
        </w:rPr>
        <w:t>业主管部门组织审查。</w:t>
      </w:r>
    </w:p>
    <w:p w14:paraId="31FBE8A0">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lang w:val="en-US" w:eastAsia="zh-CN"/>
        </w:rPr>
      </w:pPr>
      <w:r>
        <w:rPr>
          <w:rFonts w:hint="default"/>
          <w:lang w:val="en-US" w:eastAsia="zh-CN"/>
        </w:rPr>
        <w:t>除通用要求外，公共服务设施选址还应当符合以下要求：</w:t>
      </w:r>
    </w:p>
    <w:p w14:paraId="6D2C7915">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lang w:val="en-US" w:eastAsia="zh-CN"/>
        </w:rPr>
      </w:pPr>
      <w:r>
        <w:rPr>
          <w:rFonts w:hint="eastAsia"/>
          <w:lang w:val="en-US" w:eastAsia="zh-CN"/>
        </w:rPr>
        <w:t>（一）</w:t>
      </w:r>
      <w:r>
        <w:rPr>
          <w:rFonts w:hint="default"/>
          <w:lang w:val="en-US" w:eastAsia="zh-CN"/>
        </w:rPr>
        <w:t>在新建与改建乡村公共服务设施的过程中，应切实考量村民的实际需求与使用习惯，宜围绕现有公共空间、公交站点、特色公共建筑、古树名木等要素规划乡村公共活动中心。鼓励依托村庄既有存量建设用地实施改（扩）建工程，倡导各类公共服务设施集中布局，促进公共空间的复合化利用。</w:t>
      </w:r>
    </w:p>
    <w:p w14:paraId="354B3BA0">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lang w:val="en-US" w:eastAsia="zh-CN"/>
        </w:rPr>
      </w:pPr>
      <w:r>
        <w:rPr>
          <w:rFonts w:hint="eastAsia"/>
          <w:lang w:val="en-US" w:eastAsia="zh-CN"/>
        </w:rPr>
        <w:t>（二）</w:t>
      </w:r>
      <w:r>
        <w:rPr>
          <w:rFonts w:hint="default"/>
          <w:lang w:val="en-US" w:eastAsia="zh-CN"/>
        </w:rPr>
        <w:t>农村小学选址应符合现行《中小学校设计规范（GB50099-2011）》《农村普通中小学校建设标准（建标109-2008）》的规定，幼儿园选址应符合《托儿所、幼儿园建筑设计规范（JGJ39-2016）》（2019年版）、《幼儿园建设标准（建标175-2016）》的规定</w:t>
      </w:r>
      <w:r>
        <w:rPr>
          <w:rFonts w:hint="eastAsia"/>
          <w:lang w:val="en-US" w:eastAsia="zh-CN"/>
        </w:rPr>
        <w:t>。</w:t>
      </w:r>
    </w:p>
    <w:p w14:paraId="5E08EB7A">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三）村级公共服务设施的配置应严格遵循乡镇国土空间规划等上位规划及相关专项规划要求。公共服务设施应优先布局于行政村集中居民点或自然村组，同时综合考虑乡村居民常用交通方式，配置满足就近使用需求的服务要素。需注重相邻村庄间服务要素的差异化配置与共享机制，鼓励有条件的村、村镇（乡）、村城之间实现公共服务设施共享。促进农村土地节约集约利用，保障乡村基本公共服务水平，避免重复建设，提升生产生活便利化程度及设施利用效能。</w:t>
      </w:r>
    </w:p>
    <w:p w14:paraId="14B8C234">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lang w:val="en-US" w:eastAsia="zh-CN"/>
        </w:rPr>
      </w:pPr>
      <w:r>
        <w:rPr>
          <w:rFonts w:hint="eastAsia"/>
          <w:lang w:val="en-US" w:eastAsia="zh-CN"/>
        </w:rPr>
        <w:t>（四）</w:t>
      </w:r>
      <w:r>
        <w:rPr>
          <w:rFonts w:hint="default"/>
          <w:lang w:val="en-US" w:eastAsia="zh-CN"/>
        </w:rPr>
        <w:t>在传统村落核心保护范围内，</w:t>
      </w:r>
      <w:r>
        <w:rPr>
          <w:rFonts w:hint="eastAsia"/>
          <w:lang w:val="en-US" w:eastAsia="zh-CN"/>
        </w:rPr>
        <w:t>除</w:t>
      </w:r>
      <w:r>
        <w:rPr>
          <w:rFonts w:hint="default"/>
          <w:lang w:val="en-US" w:eastAsia="zh-CN"/>
        </w:rPr>
        <w:t>新建、扩建必要的公共服务设施、基础设施</w:t>
      </w:r>
      <w:r>
        <w:rPr>
          <w:rFonts w:hint="eastAsia"/>
          <w:lang w:val="en-US" w:eastAsia="zh-CN"/>
        </w:rPr>
        <w:t>外，不得进行新建、扩建活动</w:t>
      </w:r>
      <w:r>
        <w:rPr>
          <w:rFonts w:hint="default"/>
          <w:lang w:val="en-US" w:eastAsia="zh-CN"/>
        </w:rPr>
        <w:t>。（设施建设需同时符合保护规划的相关要求。）</w:t>
      </w:r>
    </w:p>
    <w:p w14:paraId="60462091">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lang w:val="en-US" w:eastAsia="zh-CN"/>
        </w:rPr>
      </w:pPr>
      <w:bookmarkStart w:id="20" w:name="_Toc18893"/>
      <w:r>
        <w:rPr>
          <w:rFonts w:hint="eastAsia"/>
          <w:lang w:val="en-US" w:eastAsia="zh-CN"/>
        </w:rPr>
        <w:t>公用设施布局要求</w:t>
      </w:r>
      <w:bookmarkEnd w:id="20"/>
    </w:p>
    <w:p w14:paraId="737262E2">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lang w:val="en-US" w:eastAsia="zh-CN"/>
        </w:rPr>
      </w:pPr>
      <w:r>
        <w:rPr>
          <w:rFonts w:hint="default"/>
          <w:lang w:val="en-US" w:eastAsia="zh-CN"/>
        </w:rPr>
        <w:t>除通用要求外，农村供水、排水、污水处理、消防、电力电信、防洪排涝、道路交通、垃圾处理等基础设施设置应考虑村庄规模与集聚程度以及农民住宅、公共服务设施、道路路网，结合地形、风向进行选址布局。</w:t>
      </w:r>
    </w:p>
    <w:p w14:paraId="41C0ADE1">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outlineLvl w:val="9"/>
        <w:rPr>
          <w:rFonts w:hint="eastAsia"/>
          <w:lang w:val="en-US" w:eastAsia="zh-CN"/>
        </w:rPr>
      </w:pPr>
      <w:r>
        <w:rPr>
          <w:rFonts w:hint="eastAsia"/>
          <w:lang w:val="en-US" w:eastAsia="zh-CN"/>
        </w:rPr>
        <w:t>表3-2乡村公用设施配置表</w:t>
      </w:r>
    </w:p>
    <w:tbl>
      <w:tblPr>
        <w:tblStyle w:val="16"/>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96"/>
        <w:gridCol w:w="2528"/>
        <w:gridCol w:w="1527"/>
        <w:gridCol w:w="1238"/>
        <w:gridCol w:w="3209"/>
      </w:tblGrid>
      <w:tr w14:paraId="48558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057390">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分类</w:t>
            </w:r>
          </w:p>
        </w:tc>
        <w:tc>
          <w:tcPr>
            <w:tcW w:w="1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7FECB1">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公用设施名称</w:t>
            </w:r>
          </w:p>
        </w:tc>
        <w:tc>
          <w:tcPr>
            <w:tcW w:w="147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A6C6AE0">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圈层划分</w:t>
            </w:r>
          </w:p>
        </w:tc>
        <w:tc>
          <w:tcPr>
            <w:tcW w:w="170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16106CC">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配置要求</w:t>
            </w:r>
          </w:p>
        </w:tc>
      </w:tr>
      <w:tr w14:paraId="22FC4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A05D4">
            <w:pPr>
              <w:jc w:val="center"/>
              <w:rPr>
                <w:rFonts w:hint="eastAsia" w:ascii="仿宋" w:hAnsi="仿宋" w:eastAsia="仿宋" w:cs="仿宋"/>
                <w:b/>
                <w:bCs/>
                <w:i w:val="0"/>
                <w:iCs w:val="0"/>
                <w:color w:val="000000"/>
                <w:sz w:val="24"/>
                <w:szCs w:val="24"/>
                <w:u w:val="none"/>
              </w:rPr>
            </w:pPr>
          </w:p>
        </w:tc>
        <w:tc>
          <w:tcPr>
            <w:tcW w:w="1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743B9">
            <w:pPr>
              <w:jc w:val="center"/>
              <w:rPr>
                <w:rFonts w:hint="eastAsia" w:ascii="仿宋" w:hAnsi="仿宋" w:eastAsia="仿宋" w:cs="仿宋"/>
                <w:b/>
                <w:bCs/>
                <w:i w:val="0"/>
                <w:iCs w:val="0"/>
                <w:color w:val="000000"/>
                <w:sz w:val="24"/>
                <w:szCs w:val="24"/>
                <w:u w:val="none"/>
              </w:rPr>
            </w:pPr>
          </w:p>
        </w:tc>
        <w:tc>
          <w:tcPr>
            <w:tcW w:w="81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FB565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村委所在自然村</w:t>
            </w:r>
          </w:p>
        </w:tc>
        <w:tc>
          <w:tcPr>
            <w:tcW w:w="65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1787F4">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非村委所在自然村</w:t>
            </w:r>
          </w:p>
        </w:tc>
        <w:tc>
          <w:tcPr>
            <w:tcW w:w="17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A804F">
            <w:pPr>
              <w:jc w:val="center"/>
              <w:rPr>
                <w:rFonts w:hint="eastAsia" w:ascii="仿宋" w:hAnsi="仿宋" w:eastAsia="仿宋" w:cs="仿宋"/>
                <w:b/>
                <w:bCs/>
                <w:i w:val="0"/>
                <w:iCs w:val="0"/>
                <w:color w:val="000000"/>
                <w:sz w:val="24"/>
                <w:szCs w:val="24"/>
                <w:u w:val="none"/>
              </w:rPr>
            </w:pPr>
          </w:p>
        </w:tc>
      </w:tr>
      <w:tr w14:paraId="68678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C9FAA">
            <w:pPr>
              <w:jc w:val="center"/>
              <w:rPr>
                <w:rFonts w:hint="eastAsia" w:ascii="仿宋" w:hAnsi="仿宋" w:eastAsia="仿宋" w:cs="仿宋"/>
                <w:b/>
                <w:bCs/>
                <w:i w:val="0"/>
                <w:iCs w:val="0"/>
                <w:color w:val="000000"/>
                <w:sz w:val="24"/>
                <w:szCs w:val="24"/>
                <w:u w:val="none"/>
              </w:rPr>
            </w:pPr>
          </w:p>
        </w:tc>
        <w:tc>
          <w:tcPr>
            <w:tcW w:w="1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C1F04F">
            <w:pPr>
              <w:jc w:val="center"/>
              <w:rPr>
                <w:rFonts w:hint="eastAsia" w:ascii="仿宋" w:hAnsi="仿宋" w:eastAsia="仿宋" w:cs="仿宋"/>
                <w:b/>
                <w:bCs/>
                <w:i w:val="0"/>
                <w:iCs w:val="0"/>
                <w:color w:val="000000"/>
                <w:sz w:val="24"/>
                <w:szCs w:val="24"/>
                <w:u w:val="none"/>
              </w:rPr>
            </w:pPr>
          </w:p>
        </w:tc>
        <w:tc>
          <w:tcPr>
            <w:tcW w:w="81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E1B5B">
            <w:pPr>
              <w:jc w:val="center"/>
              <w:rPr>
                <w:rFonts w:hint="eastAsia" w:ascii="仿宋" w:hAnsi="仿宋" w:eastAsia="仿宋" w:cs="仿宋"/>
                <w:b/>
                <w:bCs/>
                <w:i w:val="0"/>
                <w:iCs w:val="0"/>
                <w:color w:val="000000"/>
                <w:sz w:val="24"/>
                <w:szCs w:val="24"/>
                <w:u w:val="none"/>
              </w:rPr>
            </w:pPr>
          </w:p>
        </w:tc>
        <w:tc>
          <w:tcPr>
            <w:tcW w:w="65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B4F4A">
            <w:pPr>
              <w:jc w:val="center"/>
              <w:rPr>
                <w:rFonts w:hint="eastAsia" w:ascii="仿宋" w:hAnsi="仿宋" w:eastAsia="仿宋" w:cs="仿宋"/>
                <w:b/>
                <w:bCs/>
                <w:i w:val="0"/>
                <w:iCs w:val="0"/>
                <w:color w:val="000000"/>
                <w:sz w:val="24"/>
                <w:szCs w:val="24"/>
                <w:u w:val="none"/>
              </w:rPr>
            </w:pPr>
          </w:p>
        </w:tc>
        <w:tc>
          <w:tcPr>
            <w:tcW w:w="170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692CB">
            <w:pPr>
              <w:jc w:val="center"/>
              <w:rPr>
                <w:rFonts w:hint="eastAsia" w:ascii="仿宋" w:hAnsi="仿宋" w:eastAsia="仿宋" w:cs="仿宋"/>
                <w:b/>
                <w:bCs/>
                <w:i w:val="0"/>
                <w:iCs w:val="0"/>
                <w:color w:val="000000"/>
                <w:sz w:val="24"/>
                <w:szCs w:val="24"/>
                <w:u w:val="none"/>
              </w:rPr>
            </w:pPr>
          </w:p>
        </w:tc>
      </w:tr>
      <w:tr w14:paraId="504109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7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7D5C13">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val="en-US"/>
              </w:rPr>
            </w:pPr>
            <w:r>
              <w:rPr>
                <w:rFonts w:hint="eastAsia" w:ascii="仿宋_GB2312" w:hAnsi="仿宋_GB2312" w:eastAsia="仿宋_GB2312" w:cs="仿宋_GB2312"/>
                <w:i w:val="0"/>
                <w:iCs w:val="0"/>
                <w:color w:val="000000"/>
                <w:kern w:val="0"/>
                <w:sz w:val="24"/>
                <w:szCs w:val="24"/>
                <w:u w:val="none"/>
                <w:lang w:val="en-US" w:eastAsia="zh-CN" w:bidi="ar"/>
              </w:rPr>
              <w:t>市政公用设施</w:t>
            </w: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D4545">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val="en-US" w:eastAsia="zh-CN"/>
              </w:rPr>
            </w:pPr>
            <w:r>
              <w:rPr>
                <w:rFonts w:hint="eastAsia" w:ascii="仿宋_GB2312" w:hAnsi="仿宋_GB2312" w:eastAsia="仿宋_GB2312" w:cs="仿宋_GB2312"/>
                <w:i w:val="0"/>
                <w:iCs w:val="0"/>
                <w:color w:val="000000"/>
                <w:sz w:val="24"/>
                <w:szCs w:val="24"/>
                <w:u w:val="none"/>
                <w:lang w:val="en-US" w:eastAsia="zh-CN"/>
              </w:rPr>
              <w:t>垃圾中转站</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F7E68">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F782F">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1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9824A">
            <w:pPr>
              <w:keepNext w:val="0"/>
              <w:keepLines w:val="0"/>
              <w:widowControl/>
              <w:suppressLineNumbers w:val="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宜独立占地</w:t>
            </w:r>
          </w:p>
        </w:tc>
      </w:tr>
      <w:tr w14:paraId="17029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DF6B0">
            <w:pPr>
              <w:jc w:val="center"/>
              <w:rPr>
                <w:rFonts w:hint="eastAsia" w:ascii="仿宋_GB2312" w:hAnsi="仿宋_GB2312" w:eastAsia="仿宋_GB2312" w:cs="仿宋_GB2312"/>
                <w:i w:val="0"/>
                <w:iCs w:val="0"/>
                <w:color w:val="000000"/>
                <w:sz w:val="24"/>
                <w:szCs w:val="24"/>
                <w:u w:val="none"/>
              </w:rPr>
            </w:pP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9F9D0">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lang w:val="zh-CN" w:eastAsia="zh-CN" w:bidi="zh-CN"/>
              </w:rPr>
            </w:pPr>
            <w:r>
              <w:rPr>
                <w:rFonts w:ascii="仿宋_GB2312" w:hAnsi="仿宋_GB2312" w:eastAsia="仿宋_GB2312" w:cs="仿宋_GB2312"/>
                <w:i w:val="0"/>
                <w:iCs w:val="0"/>
                <w:color w:val="000000"/>
                <w:kern w:val="0"/>
                <w:sz w:val="24"/>
                <w:szCs w:val="24"/>
                <w:u w:val="none"/>
                <w:lang w:val="en-US" w:eastAsia="zh-CN" w:bidi="ar"/>
              </w:rPr>
              <w:t>垃圾收集点</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E2283">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lang w:val="zh-CN" w:eastAsia="zh-CN" w:bidi="zh-CN"/>
              </w:rPr>
            </w:pPr>
            <w:r>
              <w:rPr>
                <w:rFonts w:ascii="仿宋_GB2312" w:hAnsi="仿宋_GB2312" w:eastAsia="仿宋_GB2312" w:cs="仿宋_GB2312"/>
                <w:i w:val="0"/>
                <w:iCs w:val="0"/>
                <w:color w:val="000000"/>
                <w:kern w:val="0"/>
                <w:sz w:val="24"/>
                <w:szCs w:val="24"/>
                <w:u w:val="none"/>
                <w:lang w:val="en-US" w:eastAsia="zh-CN" w:bidi="ar"/>
              </w:rPr>
              <w:t>●</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C2FB5">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lang w:val="zh-CN" w:eastAsia="zh-CN" w:bidi="zh-CN"/>
              </w:rPr>
            </w:pPr>
            <w:r>
              <w:rPr>
                <w:rFonts w:ascii="仿宋_GB2312" w:hAnsi="仿宋_GB2312" w:eastAsia="仿宋_GB2312" w:cs="仿宋_GB2312"/>
                <w:i w:val="0"/>
                <w:iCs w:val="0"/>
                <w:color w:val="000000"/>
                <w:kern w:val="0"/>
                <w:sz w:val="24"/>
                <w:szCs w:val="24"/>
                <w:u w:val="none"/>
                <w:lang w:val="en-US" w:eastAsia="zh-CN" w:bidi="ar"/>
              </w:rPr>
              <w:t>●</w:t>
            </w:r>
          </w:p>
        </w:tc>
        <w:tc>
          <w:tcPr>
            <w:tcW w:w="1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C950A">
            <w:pPr>
              <w:keepNext w:val="0"/>
              <w:keepLines w:val="0"/>
              <w:widowControl/>
              <w:suppressLineNumbers w:val="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宜独立占地</w:t>
            </w:r>
          </w:p>
        </w:tc>
      </w:tr>
      <w:tr w14:paraId="4FC84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5F232">
            <w:pPr>
              <w:jc w:val="center"/>
              <w:rPr>
                <w:rFonts w:hint="eastAsia" w:ascii="仿宋_GB2312" w:hAnsi="仿宋_GB2312" w:eastAsia="仿宋_GB2312" w:cs="仿宋_GB2312"/>
                <w:i w:val="0"/>
                <w:iCs w:val="0"/>
                <w:color w:val="000000"/>
                <w:sz w:val="24"/>
                <w:szCs w:val="24"/>
                <w:u w:val="none"/>
              </w:rPr>
            </w:pP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EF773">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污水处理设施</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1726E">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702F0">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1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CD28F">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宜独立占地</w:t>
            </w:r>
          </w:p>
        </w:tc>
      </w:tr>
      <w:tr w14:paraId="24007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33447">
            <w:pPr>
              <w:jc w:val="center"/>
              <w:rPr>
                <w:rFonts w:hint="eastAsia" w:ascii="仿宋_GB2312" w:hAnsi="仿宋_GB2312" w:eastAsia="仿宋_GB2312" w:cs="仿宋_GB2312"/>
                <w:i w:val="0"/>
                <w:iCs w:val="0"/>
                <w:color w:val="000000"/>
                <w:sz w:val="24"/>
                <w:szCs w:val="24"/>
                <w:u w:val="none"/>
              </w:rPr>
            </w:pP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DC1A2">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消防设施</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E3070">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F6186">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1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094D5">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宜独立占地</w:t>
            </w:r>
          </w:p>
        </w:tc>
      </w:tr>
      <w:tr w14:paraId="47818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85" w:hRule="atLeast"/>
        </w:trPr>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E740D">
            <w:pPr>
              <w:jc w:val="center"/>
              <w:rPr>
                <w:rFonts w:hint="eastAsia" w:ascii="仿宋_GB2312" w:hAnsi="仿宋_GB2312" w:eastAsia="仿宋_GB2312" w:cs="仿宋_GB2312"/>
                <w:i w:val="0"/>
                <w:iCs w:val="0"/>
                <w:color w:val="000000"/>
                <w:sz w:val="24"/>
                <w:szCs w:val="24"/>
                <w:u w:val="none"/>
              </w:rPr>
            </w:pP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CF15F">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电力设施</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360F7">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D30AC">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1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88D64">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宜独立占地</w:t>
            </w:r>
          </w:p>
        </w:tc>
      </w:tr>
      <w:tr w14:paraId="161C6E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666E7">
            <w:pPr>
              <w:jc w:val="center"/>
              <w:rPr>
                <w:rFonts w:hint="eastAsia" w:ascii="仿宋_GB2312" w:hAnsi="仿宋_GB2312" w:eastAsia="仿宋_GB2312" w:cs="仿宋_GB2312"/>
                <w:i w:val="0"/>
                <w:iCs w:val="0"/>
                <w:color w:val="000000"/>
                <w:sz w:val="24"/>
                <w:szCs w:val="24"/>
                <w:u w:val="none"/>
              </w:rPr>
            </w:pP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2007A">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电信设施</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69B90">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0ECDD">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1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B967A">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宜独立占地</w:t>
            </w:r>
          </w:p>
        </w:tc>
      </w:tr>
      <w:tr w14:paraId="45B37E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7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91A2B">
            <w:pPr>
              <w:jc w:val="center"/>
              <w:rPr>
                <w:rFonts w:hint="eastAsia" w:ascii="仿宋_GB2312" w:hAnsi="仿宋_GB2312" w:eastAsia="仿宋_GB2312" w:cs="仿宋_GB2312"/>
                <w:i w:val="0"/>
                <w:iCs w:val="0"/>
                <w:color w:val="000000"/>
                <w:sz w:val="24"/>
                <w:szCs w:val="24"/>
                <w:u w:val="none"/>
              </w:rPr>
            </w:pP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5D108">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给水设施</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94C2E">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1C879">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w:t>
            </w:r>
          </w:p>
        </w:tc>
        <w:tc>
          <w:tcPr>
            <w:tcW w:w="1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DE948">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sz w:val="24"/>
                <w:szCs w:val="24"/>
                <w:u w:val="none"/>
              </w:rPr>
            </w:pPr>
            <w:r>
              <w:rPr>
                <w:rFonts w:ascii="仿宋_GB2312" w:hAnsi="仿宋_GB2312" w:eastAsia="仿宋_GB2312" w:cs="仿宋_GB2312"/>
                <w:i w:val="0"/>
                <w:iCs w:val="0"/>
                <w:color w:val="000000"/>
                <w:kern w:val="0"/>
                <w:sz w:val="24"/>
                <w:szCs w:val="24"/>
                <w:u w:val="none"/>
                <w:lang w:val="en-US" w:eastAsia="zh-CN" w:bidi="ar"/>
              </w:rPr>
              <w:t>宜独立占地</w:t>
            </w:r>
          </w:p>
        </w:tc>
      </w:tr>
      <w:tr w14:paraId="34CCC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FEF87">
            <w:pPr>
              <w:jc w:val="center"/>
              <w:rPr>
                <w:rFonts w:hint="eastAsia" w:ascii="仿宋_GB2312" w:hAnsi="仿宋_GB2312" w:eastAsia="仿宋_GB2312" w:cs="仿宋_GB2312"/>
                <w:i w:val="0"/>
                <w:iCs w:val="0"/>
                <w:color w:val="000000"/>
                <w:sz w:val="24"/>
                <w:szCs w:val="24"/>
                <w:u w:val="none"/>
              </w:rPr>
            </w:pPr>
          </w:p>
        </w:tc>
        <w:tc>
          <w:tcPr>
            <w:tcW w:w="1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0CC8F">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kern w:val="0"/>
                <w:sz w:val="24"/>
                <w:szCs w:val="24"/>
                <w:u w:val="none"/>
                <w:lang w:val="en-US" w:eastAsia="zh-CN" w:bidi="ar"/>
              </w:rPr>
            </w:pPr>
            <w:r>
              <w:rPr>
                <w:rFonts w:ascii="仿宋_GB2312" w:hAnsi="仿宋_GB2312" w:eastAsia="仿宋_GB2312" w:cs="仿宋_GB2312"/>
                <w:i w:val="0"/>
                <w:iCs w:val="0"/>
                <w:color w:val="000000"/>
                <w:kern w:val="0"/>
                <w:sz w:val="24"/>
                <w:szCs w:val="24"/>
                <w:u w:val="none"/>
                <w:lang w:val="en-US" w:eastAsia="zh-CN" w:bidi="ar"/>
              </w:rPr>
              <w:t>公共厕所</w:t>
            </w:r>
          </w:p>
        </w:tc>
        <w:tc>
          <w:tcPr>
            <w:tcW w:w="8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93F6">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kern w:val="0"/>
                <w:sz w:val="24"/>
                <w:szCs w:val="24"/>
                <w:u w:val="none"/>
                <w:lang w:val="en-US" w:eastAsia="zh-CN" w:bidi="ar"/>
              </w:rPr>
            </w:pPr>
            <w:r>
              <w:rPr>
                <w:rFonts w:ascii="仿宋_GB2312" w:hAnsi="仿宋_GB2312" w:eastAsia="仿宋_GB2312" w:cs="仿宋_GB2312"/>
                <w:i w:val="0"/>
                <w:iCs w:val="0"/>
                <w:color w:val="000000"/>
                <w:kern w:val="0"/>
                <w:sz w:val="24"/>
                <w:szCs w:val="24"/>
                <w:u w:val="none"/>
                <w:lang w:val="en-US" w:eastAsia="zh-CN" w:bidi="ar"/>
              </w:rPr>
              <w:t>○</w:t>
            </w:r>
          </w:p>
        </w:tc>
        <w:tc>
          <w:tcPr>
            <w:tcW w:w="6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43C36">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kern w:val="0"/>
                <w:sz w:val="24"/>
                <w:szCs w:val="24"/>
                <w:u w:val="none"/>
                <w:lang w:val="en-US" w:eastAsia="zh-CN" w:bidi="ar"/>
              </w:rPr>
            </w:pPr>
            <w:r>
              <w:rPr>
                <w:rFonts w:ascii="仿宋_GB2312" w:hAnsi="仿宋_GB2312" w:eastAsia="仿宋_GB2312" w:cs="仿宋_GB2312"/>
                <w:i w:val="0"/>
                <w:iCs w:val="0"/>
                <w:color w:val="000000"/>
                <w:kern w:val="0"/>
                <w:sz w:val="24"/>
                <w:szCs w:val="24"/>
                <w:u w:val="none"/>
                <w:lang w:val="en-US" w:eastAsia="zh-CN" w:bidi="ar"/>
              </w:rPr>
              <w:t>○</w:t>
            </w:r>
          </w:p>
        </w:tc>
        <w:tc>
          <w:tcPr>
            <w:tcW w:w="170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D917F">
            <w:pPr>
              <w:keepNext w:val="0"/>
              <w:keepLines w:val="0"/>
              <w:widowControl/>
              <w:suppressLineNumbers w:val="0"/>
              <w:ind w:left="0" w:leftChars="0" w:right="0" w:rightChars="0"/>
              <w:jc w:val="center"/>
              <w:textAlignment w:val="center"/>
              <w:rPr>
                <w:rFonts w:ascii="仿宋_GB2312" w:hAnsi="仿宋_GB2312" w:eastAsia="仿宋_GB2312" w:cs="仿宋_GB2312"/>
                <w:i w:val="0"/>
                <w:iCs w:val="0"/>
                <w:color w:val="000000"/>
                <w:kern w:val="0"/>
                <w:sz w:val="24"/>
                <w:szCs w:val="24"/>
                <w:u w:val="none"/>
                <w:lang w:val="en-US" w:eastAsia="zh-CN" w:bidi="ar"/>
              </w:rPr>
            </w:pPr>
            <w:r>
              <w:rPr>
                <w:rFonts w:ascii="仿宋_GB2312" w:hAnsi="仿宋_GB2312" w:eastAsia="仿宋_GB2312" w:cs="仿宋_GB2312"/>
                <w:i w:val="0"/>
                <w:iCs w:val="0"/>
                <w:color w:val="000000"/>
                <w:kern w:val="0"/>
                <w:sz w:val="24"/>
                <w:szCs w:val="24"/>
                <w:u w:val="none"/>
                <w:lang w:val="en-US" w:eastAsia="zh-CN" w:bidi="ar"/>
              </w:rPr>
              <w:t>宜结合公共服务中心设施设置</w:t>
            </w:r>
          </w:p>
        </w:tc>
      </w:tr>
    </w:tbl>
    <w:p w14:paraId="3FDDEB84">
      <w:pPr>
        <w:spacing w:before="67" w:line="230" w:lineRule="auto"/>
        <w:ind w:left="125"/>
        <w:rPr>
          <w:rFonts w:ascii="仿宋" w:hAnsi="仿宋" w:eastAsia="仿宋" w:cs="仿宋"/>
          <w:sz w:val="24"/>
          <w:szCs w:val="24"/>
        </w:rPr>
      </w:pPr>
      <w:r>
        <w:rPr>
          <w:rFonts w:ascii="仿宋" w:hAnsi="仿宋" w:eastAsia="仿宋" w:cs="仿宋"/>
          <w:spacing w:val="6"/>
          <w:sz w:val="24"/>
          <w:szCs w:val="24"/>
        </w:rPr>
        <w:t>注：</w:t>
      </w:r>
      <w:r>
        <w:rPr>
          <w:rFonts w:ascii="Times New Roman" w:hAnsi="Times New Roman" w:eastAsia="Times New Roman" w:cs="Times New Roman"/>
          <w:spacing w:val="6"/>
          <w:sz w:val="24"/>
          <w:szCs w:val="24"/>
        </w:rPr>
        <w:t>1.</w:t>
      </w:r>
      <w:r>
        <w:rPr>
          <w:rFonts w:ascii="仿宋" w:hAnsi="仿宋" w:eastAsia="仿宋" w:cs="仿宋"/>
          <w:spacing w:val="6"/>
          <w:sz w:val="24"/>
          <w:szCs w:val="24"/>
        </w:rPr>
        <w:t>●代表该项目为必建项目</w:t>
      </w:r>
      <w:r>
        <w:rPr>
          <w:rFonts w:hint="eastAsia" w:ascii="仿宋" w:hAnsi="仿宋" w:eastAsia="仿宋" w:cs="仿宋"/>
          <w:spacing w:val="6"/>
          <w:sz w:val="24"/>
          <w:szCs w:val="24"/>
          <w:lang w:eastAsia="zh-CN"/>
        </w:rPr>
        <w:t>，</w:t>
      </w:r>
      <w:r>
        <w:rPr>
          <w:rFonts w:ascii="仿宋" w:hAnsi="仿宋" w:eastAsia="仿宋" w:cs="仿宋"/>
          <w:spacing w:val="5"/>
          <w:sz w:val="24"/>
          <w:szCs w:val="24"/>
        </w:rPr>
        <w:t>○代表该项目为可选项目；</w:t>
      </w:r>
    </w:p>
    <w:p w14:paraId="3BBE005B">
      <w:pPr>
        <w:spacing w:before="175" w:line="361" w:lineRule="auto"/>
        <w:ind w:left="120" w:right="120" w:hanging="6"/>
        <w:rPr>
          <w:rFonts w:ascii="仿宋" w:hAnsi="仿宋" w:eastAsia="仿宋" w:cs="仿宋"/>
          <w:sz w:val="24"/>
          <w:szCs w:val="24"/>
        </w:rPr>
      </w:pPr>
      <w:r>
        <w:rPr>
          <w:rFonts w:ascii="仿宋" w:hAnsi="仿宋" w:eastAsia="仿宋" w:cs="仿宋"/>
          <w:spacing w:val="7"/>
          <w:sz w:val="24"/>
          <w:szCs w:val="24"/>
        </w:rPr>
        <w:t>2.独立占地项目按照审查通过的建设工程设计方案实施</w:t>
      </w:r>
      <w:r>
        <w:rPr>
          <w:rFonts w:hint="eastAsia" w:ascii="仿宋" w:hAnsi="仿宋" w:eastAsia="仿宋" w:cs="仿宋"/>
          <w:spacing w:val="7"/>
          <w:sz w:val="24"/>
          <w:szCs w:val="24"/>
          <w:lang w:eastAsia="zh-CN"/>
        </w:rPr>
        <w:t>，</w:t>
      </w:r>
      <w:r>
        <w:rPr>
          <w:rFonts w:ascii="仿宋" w:hAnsi="仿宋" w:eastAsia="仿宋" w:cs="仿宋"/>
          <w:spacing w:val="7"/>
          <w:sz w:val="24"/>
          <w:szCs w:val="24"/>
        </w:rPr>
        <w:t>具体项目方案审</w:t>
      </w:r>
      <w:r>
        <w:rPr>
          <w:rFonts w:ascii="仿宋" w:hAnsi="仿宋" w:eastAsia="仿宋" w:cs="仿宋"/>
          <w:spacing w:val="11"/>
          <w:sz w:val="24"/>
          <w:szCs w:val="24"/>
        </w:rPr>
        <w:t>查由相关</w:t>
      </w:r>
      <w:r>
        <w:rPr>
          <w:rFonts w:hint="eastAsia" w:ascii="仿宋" w:hAnsi="仿宋" w:eastAsia="仿宋" w:cs="仿宋"/>
          <w:spacing w:val="11"/>
          <w:sz w:val="24"/>
          <w:szCs w:val="24"/>
          <w:lang w:val="en-US" w:eastAsia="zh-CN"/>
        </w:rPr>
        <w:t>行</w:t>
      </w:r>
      <w:r>
        <w:rPr>
          <w:rFonts w:ascii="仿宋" w:hAnsi="仿宋" w:eastAsia="仿宋" w:cs="仿宋"/>
          <w:spacing w:val="11"/>
          <w:sz w:val="24"/>
          <w:szCs w:val="24"/>
        </w:rPr>
        <w:t>业主管部门组织审查。</w:t>
      </w:r>
    </w:p>
    <w:p w14:paraId="4676549A">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（一）乡村道路</w:t>
      </w:r>
    </w:p>
    <w:p w14:paraId="370E492A">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在落实上位规划要求的前提下，应优先考虑构建环形与网格状乡村道路布局体系。村庄内部道路规划须尊重历史沿革与现状条件，统筹兼顾消防车辆通行需求，切实提升路网连通性与可达性。</w:t>
      </w:r>
    </w:p>
    <w:p w14:paraId="0130357C">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（二）村用停车场</w:t>
      </w:r>
    </w:p>
    <w:p w14:paraId="61422F2A">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应因地制宜规划停车场地布局。村庄小型停车场宜采用分散式布局，禁止占用农用地建设大面积硬化停车场。提倡将停车场与晒谷场、村级广场等设施统筹建设与复合利用，并根据实际需求配建充电基础设施。机动车停车设施配建充电基础设施或预留安装条件时，宜按停车泊位总数10%～20%的比例配置。支持统一规划公共停车场解决乡村旅游停车需求。</w:t>
      </w:r>
    </w:p>
    <w:p w14:paraId="3747936B">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（三）污水处理设施</w:t>
      </w:r>
    </w:p>
    <w:p w14:paraId="3F77C921">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根据村庄实际情况，有条件的区域生活污水优先纳入城镇污水系统统一处理。超出城镇污水处理厂接通范围，20户及以上的集中居民点宜建设污水处理设施集中处理；20户以下集中居民点及分散居民点可分户处理，经无害化处理后就地就近资源化利用。在满足污水排放要求的前提下，鼓励结合生物处理技术采用生态滤池、人工湿地等方式生态化处理。</w:t>
      </w:r>
    </w:p>
    <w:p w14:paraId="7A070D84">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（四）垃圾中转站</w:t>
      </w:r>
    </w:p>
    <w:p w14:paraId="7CF54C33">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垃圾中转站应设置于村庄下风向，其地面须进行硬化及防渗处理。中转站的用地指标及与居民区距离控制标准，应根据日转运量综合确定，同时满足作业需求并与周边环境相协调，且须符合相关技术规范及管理要求。</w:t>
      </w:r>
    </w:p>
    <w:p w14:paraId="2307DCE6">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（五）垃圾收集点</w:t>
      </w:r>
    </w:p>
    <w:p w14:paraId="00D7D2DC">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以交通便捷、便于作业为原则，村庄的生活垃圾收集点服务半径不宜大于70米；每个自然村至少应设置一处生活垃圾集中收集点，服务半径不宜大于200米。</w:t>
      </w:r>
    </w:p>
    <w:p w14:paraId="1A2874CB">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（六）公共厕所</w:t>
      </w:r>
    </w:p>
    <w:p w14:paraId="730F897E">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cs="宋体"/>
          <w:lang w:val="en-US" w:eastAsia="zh-CN"/>
        </w:rPr>
      </w:pPr>
      <w:r>
        <w:rPr>
          <w:rFonts w:hint="eastAsia" w:cs="宋体"/>
          <w:lang w:val="en-US" w:eastAsia="zh-CN"/>
        </w:rPr>
        <w:t>遵循便利性原则，倡导村庄公共厕所与其他设施共建，宜设置于人流量较大的道路沿线、公共建筑及公共活动场所附近。旅游功能公共厕所可根据实际需求与场地条件合理布局。</w:t>
      </w:r>
    </w:p>
    <w:p w14:paraId="3F28DFD9">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lang w:val="en-US" w:eastAsia="zh-CN"/>
        </w:rPr>
      </w:pPr>
      <w:bookmarkStart w:id="21" w:name="_Toc24408"/>
      <w:r>
        <w:rPr>
          <w:rFonts w:hint="eastAsia"/>
          <w:lang w:val="en-US" w:eastAsia="zh-CN"/>
        </w:rPr>
        <w:t>产业用地布局要求</w:t>
      </w:r>
      <w:bookmarkEnd w:id="21"/>
    </w:p>
    <w:p w14:paraId="62F869C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eastAsia="宋体" w:cs="宋体"/>
          <w:u w:val="none"/>
          <w:lang w:val="en-US" w:eastAsia="zh-CN"/>
        </w:rPr>
      </w:pPr>
      <w:r>
        <w:rPr>
          <w:rFonts w:hint="eastAsia" w:ascii="Times New Roman" w:hAnsi="Times New Roman" w:eastAsia="宋体" w:cs="宋体"/>
          <w:u w:val="none"/>
          <w:lang w:val="en-US" w:eastAsia="zh-CN"/>
        </w:rPr>
        <w:t>乡村产业</w:t>
      </w:r>
      <w:r>
        <w:rPr>
          <w:rFonts w:hint="eastAsia" w:ascii="Times New Roman" w:hAnsi="Times New Roman" w:cs="宋体"/>
          <w:u w:val="none"/>
          <w:lang w:val="en-US" w:eastAsia="zh-CN"/>
        </w:rPr>
        <w:t>类目</w:t>
      </w:r>
      <w:r>
        <w:rPr>
          <w:rFonts w:hint="eastAsia" w:ascii="Times New Roman" w:hAnsi="Times New Roman" w:eastAsia="宋体" w:cs="宋体"/>
          <w:u w:val="none"/>
          <w:lang w:val="en-US" w:eastAsia="zh-CN"/>
        </w:rPr>
        <w:t>应符合《产业结构调整指导目录（2024年本）》《自然资源要素支撑产业高质量发展指导目录（2024年本）》以及地方其他管理规定。</w:t>
      </w:r>
    </w:p>
    <w:p w14:paraId="515FA912">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eastAsia="宋体" w:cs="宋体"/>
          <w:u w:val="none"/>
          <w:lang w:val="en-US" w:eastAsia="zh-CN"/>
        </w:rPr>
      </w:pPr>
      <w:r>
        <w:rPr>
          <w:rFonts w:hint="eastAsia" w:ascii="Times New Roman" w:hAnsi="Times New Roman" w:cs="宋体"/>
          <w:u w:val="none"/>
          <w:lang w:val="en-US" w:eastAsia="zh-CN"/>
        </w:rPr>
        <w:t>除通用要求外，乡</w:t>
      </w:r>
      <w:r>
        <w:rPr>
          <w:rFonts w:hint="eastAsia" w:ascii="Times New Roman" w:hAnsi="Times New Roman" w:eastAsia="宋体" w:cs="宋体"/>
          <w:u w:val="none"/>
          <w:lang w:val="en-US" w:eastAsia="zh-CN"/>
        </w:rPr>
        <w:t>村产业用地选址应优先利用闲置宅基地、空闲集体建设用地和低效产业用地，项目选址需符合以下原则：</w:t>
      </w:r>
    </w:p>
    <w:p w14:paraId="7CED2161">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eastAsia="宋体" w:cs="宋体"/>
          <w:u w:val="none"/>
          <w:lang w:val="en-US" w:eastAsia="zh-CN"/>
        </w:rPr>
      </w:pPr>
      <w:r>
        <w:rPr>
          <w:rFonts w:hint="eastAsia" w:ascii="Times New Roman" w:hAnsi="Times New Roman" w:cs="宋体"/>
          <w:u w:val="none"/>
          <w:lang w:val="en-US" w:eastAsia="zh-CN"/>
        </w:rPr>
        <w:t>（一）</w:t>
      </w:r>
      <w:r>
        <w:rPr>
          <w:rFonts w:hint="eastAsia" w:ascii="Times New Roman" w:hAnsi="Times New Roman" w:eastAsia="宋体" w:cs="宋体"/>
          <w:u w:val="none"/>
          <w:lang w:val="en-US" w:eastAsia="zh-CN"/>
        </w:rPr>
        <w:t>规模较大、工业化程度高、分散布局配套设施成本高的项目要进产业园区。具有一定规模的农产品加工业要向县城或有条件的乡镇城镇开发边界内集聚，其中农产品精深加工和关键物流节点应集中布局到县城或农业产业强镇。</w:t>
      </w:r>
    </w:p>
    <w:p w14:paraId="2F2A2051">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eastAsia="宋体" w:cs="宋体"/>
          <w:u w:val="none"/>
          <w:lang w:val="en-US" w:eastAsia="zh-CN"/>
        </w:rPr>
      </w:pPr>
      <w:r>
        <w:rPr>
          <w:rFonts w:hint="eastAsia" w:ascii="Times New Roman" w:hAnsi="Times New Roman" w:cs="宋体"/>
          <w:u w:val="none"/>
          <w:lang w:val="en-US" w:eastAsia="zh-CN"/>
        </w:rPr>
        <w:t>（二）</w:t>
      </w:r>
      <w:r>
        <w:rPr>
          <w:rFonts w:hint="eastAsia" w:ascii="Times New Roman" w:hAnsi="Times New Roman" w:eastAsia="宋体" w:cs="宋体"/>
          <w:u w:val="none"/>
          <w:lang w:val="en-US" w:eastAsia="zh-CN"/>
        </w:rPr>
        <w:t>直接服务种植养殖业或需就近利用农业农村资源的农产品初加工、电子商务、仓储保鲜冷链、产地低温直销配送等产业，原则上应集中在行政村村庄建设边界内。利用农村本地资源开展农产品分拣、初加工、发展休闲观光旅游而</w:t>
      </w:r>
      <w:r>
        <w:rPr>
          <w:rFonts w:hint="eastAsia" w:ascii="Times New Roman" w:hAnsi="Times New Roman" w:cs="宋体"/>
          <w:u w:val="none"/>
          <w:lang w:val="en-US" w:eastAsia="zh-CN"/>
        </w:rPr>
        <w:t>必需的</w:t>
      </w:r>
      <w:r>
        <w:rPr>
          <w:rFonts w:hint="eastAsia" w:ascii="Times New Roman" w:hAnsi="Times New Roman" w:eastAsia="宋体" w:cs="宋体"/>
          <w:u w:val="none"/>
          <w:lang w:val="en-US" w:eastAsia="zh-CN"/>
        </w:rPr>
        <w:t>配套设施建设，可在不占用永久基本农田和生态保护红线、不突破国土空间规划建设用地规模等约束条件、不破坏生态环境和乡村风貌的前提下，在村庄建设边界外安排少量建设用地。</w:t>
      </w:r>
    </w:p>
    <w:p w14:paraId="34411187">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三）乡村产业项目原则上应为直接服务于乡村振兴和农村生产生活的项目，并符合村庄所在的镇主体功能定位和相关产业规划，不得违背产业准入负面清单，不得用于商品住宅、别墅、酒店、公寓等房地产开发。</w:t>
      </w:r>
    </w:p>
    <w:p w14:paraId="1DF0D769">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四）工业项目配套建设新增办公及生活服务设施的建筑面积不宜大于工业项目建筑面积的15%，新增办公及生活服务设施用地面积不宜大于工业项目总用地面积的7%。工业生产必需的研发、设计、检测、中试设施，可在新增办公及生活服务设施之外计算，且建筑面积≤工业项目总建筑面积的15%，并要符合相关工业建筑设计规范要求。</w:t>
      </w:r>
    </w:p>
    <w:p w14:paraId="5C937665">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eastAsia="宋体" w:cs="宋体"/>
          <w:u w:val="none"/>
          <w:lang w:val="en-US" w:eastAsia="zh-CN"/>
        </w:rPr>
      </w:pPr>
      <w:r>
        <w:rPr>
          <w:rFonts w:hint="eastAsia" w:ascii="Times New Roman" w:hAnsi="Times New Roman" w:cs="宋体"/>
          <w:u w:val="none"/>
          <w:lang w:val="en-US" w:eastAsia="zh-CN"/>
        </w:rPr>
        <w:t>（五）一二三产业融合项目应满足国家或省级用地标准规定，具体要求可参照《广东省自然资源厅广东省发展和改革委员会广东省农业农村厅广东省林业局关于保障农村一二三产业融合发展用地促进乡村振兴的指导意见》（粤自然资规字〔2022〕1号）予以执行。执行过程中若遇政策调整，按新政策规定执行。</w:t>
      </w:r>
    </w:p>
    <w:p w14:paraId="0A70FF55">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宋体" w:hAnsi="宋体" w:eastAsia="宋体" w:cs="宋体"/>
          <w:lang w:val="en-US" w:eastAsia="zh-CN"/>
        </w:rPr>
      </w:pPr>
      <w:bookmarkStart w:id="22" w:name="_Toc23673"/>
      <w:r>
        <w:rPr>
          <w:rFonts w:hint="eastAsia" w:cs="宋体"/>
          <w:lang w:val="en-US" w:eastAsia="zh-CN"/>
        </w:rPr>
        <w:t>国土综合整治与生态修复要求</w:t>
      </w:r>
      <w:r>
        <w:rPr>
          <w:rFonts w:hint="eastAsia" w:ascii="仿宋" w:hAnsi="仿宋" w:eastAsia="仿宋" w:cs="仿宋"/>
          <w:color w:val="FF0000"/>
          <w:spacing w:val="-1"/>
          <w:sz w:val="24"/>
          <w:szCs w:val="24"/>
          <w:lang w:eastAsia="zh-CN"/>
        </w:rPr>
        <w:t>（《全域土地综合整治实施指南（试行）》</w:t>
      </w:r>
      <w:r>
        <w:rPr>
          <w:rFonts w:ascii="楷体" w:hAnsi="楷体" w:eastAsia="楷体" w:cs="楷体"/>
          <w:i w:val="0"/>
          <w:iCs w:val="0"/>
          <w:caps w:val="0"/>
          <w:color w:val="FF0000"/>
          <w:spacing w:val="0"/>
          <w:sz w:val="24"/>
          <w:szCs w:val="24"/>
          <w:shd w:val="clear" w:fill="FFFFFF"/>
        </w:rPr>
        <w:t>自然资办发〔2024〕57号</w:t>
      </w:r>
      <w:r>
        <w:rPr>
          <w:rFonts w:hint="eastAsia" w:ascii="仿宋" w:hAnsi="仿宋" w:eastAsia="仿宋" w:cs="仿宋"/>
          <w:color w:val="FF0000"/>
          <w:spacing w:val="-1"/>
          <w:sz w:val="24"/>
          <w:szCs w:val="24"/>
          <w:lang w:eastAsia="zh-CN"/>
        </w:rPr>
        <w:t>）</w:t>
      </w:r>
      <w:bookmarkEnd w:id="22"/>
    </w:p>
    <w:p w14:paraId="2E5E5C25">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落实上位规划确定的国土综合整治与生态修复区域。以乡镇为基本实施单元，统筹推进农用地整治、建设用地整理和生态保护修复等。</w:t>
      </w:r>
    </w:p>
    <w:p w14:paraId="607A3997">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一）农用地整治。在严格落实耕地和永久基本农田保护目标任务的前提下，适应农业现代化发展需要和耕地数量、质量、生态“三位一体”保护要求，统筹实施农用地集中连片整治、质量提升和生态化改造，将山上耕地逐步调整到山下、果树苗木逐步上山上坡，将河道湖泊内的不稳定利用耕地逐步调出，实现布局优化。主要包括优化农用地布局、提升耕地质量、实施农田生态改造等措施。</w:t>
      </w:r>
    </w:p>
    <w:p w14:paraId="3717A9A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二）建设用地整理。适应宜居宜业和美乡村建设需要，统筹考虑区位条件、资源禀赋、环境容量、产业基础、历史文化传承以及农民住房、产业发展、公共服务、基础设施等各类建设用地需求，根据实施单元具备的基础条件和特点，对农村零散、闲置、低效建设用地进行整理盘活，统筹推进建设用地布局优化、村庄建设用地整理、废弃采矿用地复垦利用、城镇低效用地再开发等，确保城镇开发边界规模和扩展倍数不突破、整治区域内建设用地总面积不增加，进一步提升土地资源配置效率和节约集约利用水平，为保障农民合理居住需求、乡村基础设施建设和产业发展提供用地支撑。</w:t>
      </w:r>
    </w:p>
    <w:p w14:paraId="563A2BA7">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三）生态保护修复。以严守生态保护红线、改善农村人居环境、优化生态空间布局为目标，统筹考虑自然生态系统的完整性和联通性、乡村肌理格局以及基层群众对于美丽乡村建设的需要，协同开展生态空间优化、农村地区山水林田湖草沙一体化保护和修复、农村人居环境整治等活动，加快宜居宜业和美乡村建设。</w:t>
      </w:r>
    </w:p>
    <w:p w14:paraId="35FDF52D">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723" w:firstLineChars="200"/>
        <w:textAlignment w:val="auto"/>
        <w:rPr>
          <w:rFonts w:hint="default" w:ascii="Calibri" w:hAnsi="Calibri" w:eastAsia="宋体" w:cs="Times New Roman"/>
          <w:b/>
          <w:kern w:val="2"/>
          <w:sz w:val="36"/>
          <w:szCs w:val="32"/>
          <w:lang w:val="en-US" w:eastAsia="zh-CN" w:bidi="ar-SA"/>
        </w:rPr>
      </w:pPr>
      <w:r>
        <w:rPr>
          <w:rFonts w:hint="eastAsia" w:ascii="Calibri" w:hAnsi="Calibri" w:eastAsia="宋体" w:cs="Times New Roman"/>
          <w:b/>
          <w:kern w:val="2"/>
          <w:sz w:val="36"/>
          <w:szCs w:val="32"/>
          <w:lang w:val="en-US" w:eastAsia="zh-CN" w:bidi="ar-SA"/>
        </w:rPr>
        <w:br w:type="page"/>
      </w:r>
    </w:p>
    <w:p w14:paraId="3561CC7F">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723" w:firstLineChars="200"/>
        <w:jc w:val="center"/>
        <w:textAlignment w:val="auto"/>
        <w:outlineLvl w:val="0"/>
        <w:rPr>
          <w:rFonts w:hint="default" w:ascii="Calibri" w:hAnsi="Calibri" w:eastAsia="宋体" w:cs="Times New Roman"/>
          <w:b/>
          <w:kern w:val="2"/>
          <w:sz w:val="36"/>
          <w:szCs w:val="32"/>
          <w:lang w:val="en-US" w:eastAsia="zh-CN" w:bidi="ar-SA"/>
        </w:rPr>
      </w:pPr>
      <w:bookmarkStart w:id="23" w:name="_Toc3903"/>
      <w:r>
        <w:rPr>
          <w:rFonts w:hint="eastAsia" w:ascii="Calibri" w:hAnsi="Calibri" w:cs="Times New Roman"/>
          <w:b/>
          <w:kern w:val="2"/>
          <w:sz w:val="36"/>
          <w:szCs w:val="32"/>
          <w:lang w:val="en-US" w:eastAsia="zh-CN" w:bidi="ar-SA"/>
        </w:rPr>
        <w:t>用地指标管控</w:t>
      </w:r>
      <w:bookmarkEnd w:id="23"/>
    </w:p>
    <w:p w14:paraId="298D75E9">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lang w:val="en-US" w:eastAsia="zh-CN"/>
        </w:rPr>
      </w:pPr>
      <w:bookmarkStart w:id="24" w:name="_Toc3616"/>
      <w:r>
        <w:rPr>
          <w:rFonts w:hint="eastAsia"/>
          <w:lang w:val="en-US" w:eastAsia="zh-CN"/>
        </w:rPr>
        <w:t>建筑容积率控制</w:t>
      </w:r>
      <w:bookmarkEnd w:id="24"/>
    </w:p>
    <w:p w14:paraId="5669506A">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（一）引用依据</w:t>
      </w:r>
    </w:p>
    <w:p w14:paraId="26F8F07C">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《城市居住区规划设计标准》（GB50180-2018）；</w:t>
      </w:r>
    </w:p>
    <w:p w14:paraId="300FECD8">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《城市公共服务设施规划标准》（GB50442）；</w:t>
      </w:r>
    </w:p>
    <w:p w14:paraId="4570FD7F">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《社区生活圈规划技术指南》（TD/T1062-2021）；</w:t>
      </w:r>
    </w:p>
    <w:p w14:paraId="2B1AF77E">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《中小学校设计规范》（GB50099-2011）；</w:t>
      </w:r>
    </w:p>
    <w:p w14:paraId="4310E455">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《幼儿园建设标准》（建标175-2016）；</w:t>
      </w:r>
    </w:p>
    <w:p w14:paraId="36C9B96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《托儿所、幼儿园建筑设计规范》（JGJ39-2016）；</w:t>
      </w:r>
    </w:p>
    <w:p w14:paraId="35650CA2">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《城市绿地设计规范》（GB50420-2007）；</w:t>
      </w:r>
    </w:p>
    <w:p w14:paraId="5F6476AA">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宋体"/>
          <w:u w:val="none"/>
          <w:lang w:val="en-US" w:eastAsia="zh-CN"/>
        </w:rPr>
      </w:pPr>
      <w:r>
        <w:rPr>
          <w:rFonts w:hint="eastAsia" w:ascii="Times New Roman" w:hAnsi="Times New Roman" w:cs="宋体"/>
          <w:u w:val="none"/>
          <w:lang w:val="en-US" w:eastAsia="zh-CN"/>
        </w:rPr>
        <w:t>《清远市国土空间规划管理技术规定及计算规则》。</w:t>
      </w:r>
    </w:p>
    <w:p w14:paraId="1E8FA568">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（二）控制指标</w:t>
      </w:r>
    </w:p>
    <w:p w14:paraId="459900F9">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容积率（FAR）为地块建筑总面积与地块净用地面积之比，本规定给出乡村地区各类用地容积率指标的上限值，具体数值依据不同地块用途确定。本规定各用地容积率控制如下：</w:t>
      </w:r>
    </w:p>
    <w:p w14:paraId="0345BC4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outlineLvl w:val="9"/>
        <w:rPr>
          <w:rFonts w:hint="default" w:ascii="Times New Roman" w:hAnsi="Times New Roman" w:cs="宋体"/>
          <w:u w:val="none"/>
          <w:lang w:val="en-US" w:eastAsia="zh-CN"/>
        </w:rPr>
      </w:pPr>
      <w:r>
        <w:rPr>
          <w:rFonts w:hint="eastAsia" w:ascii="Times New Roman" w:hAnsi="Times New Roman" w:cs="宋体"/>
          <w:u w:val="none"/>
          <w:lang w:val="en-US" w:eastAsia="zh-CN"/>
        </w:rPr>
        <w:t>表4-1 乡村建设用地容积率一览表</w:t>
      </w:r>
    </w:p>
    <w:tbl>
      <w:tblPr>
        <w:tblStyle w:val="17"/>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6"/>
        <w:gridCol w:w="3411"/>
        <w:gridCol w:w="4041"/>
      </w:tblGrid>
      <w:tr w14:paraId="6B1EA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3C5330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代码</w:t>
            </w:r>
          </w:p>
        </w:tc>
        <w:tc>
          <w:tcPr>
            <w:tcW w:w="341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BBAB45B">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p>
        </w:tc>
        <w:tc>
          <w:tcPr>
            <w:tcW w:w="4041" w:type="dxa"/>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377DD1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容积率</w:t>
            </w:r>
          </w:p>
        </w:tc>
      </w:tr>
      <w:tr w14:paraId="6E84E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662C304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0703</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5CF8351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农村宅基地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03170EB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B4A3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2F0E18F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0704</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5787332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农村社区服务设施用地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3AEFE5D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51461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61A733B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0801</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30FFAC2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机关团体用地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663DE306">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34492B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31F9989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0802</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47353E5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科研用地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3BAE40B3">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F88C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5724AB1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0803</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029A16D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文化用地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2EEF868F">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73B1F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0584737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080403</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017032B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中小学用地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17255B50">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0FF4D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084AB45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080404</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5821FD9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幼儿园用地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7CFBE066">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2C3EE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6D751F2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0805</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0413E83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体育用地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3CE88A55">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14505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1ACABDC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0806</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4E0E98E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医疗卫生用地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02A083F4">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402488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3980F64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0807</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7389487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社会福利用地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1672ACAC">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05C1B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2F443D1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0901</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0CE7F19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商业用地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4F416C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r w14:paraId="4DAA1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0902F69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0902</w:t>
            </w:r>
          </w:p>
        </w:tc>
        <w:tc>
          <w:tcPr>
            <w:tcW w:w="3411" w:type="dxa"/>
            <w:tcBorders>
              <w:top w:val="single" w:color="000000" w:sz="4" w:space="0"/>
              <w:left w:val="single" w:color="000000" w:sz="4" w:space="0"/>
              <w:bottom w:val="single" w:color="000000" w:sz="4" w:space="0"/>
              <w:right w:val="single" w:color="000000" w:sz="4" w:space="0"/>
            </w:tcBorders>
            <w:vAlign w:val="center"/>
          </w:tcPr>
          <w:p w14:paraId="595F84D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商务金融用地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5D2DEA4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r w14:paraId="03C9D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0915E64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0903</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1FC5CB1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娱乐康体用地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3655AEE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r>
      <w:tr w14:paraId="54E60F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2DCD3D4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0904</w:t>
            </w:r>
          </w:p>
        </w:tc>
        <w:tc>
          <w:tcPr>
            <w:tcW w:w="3411" w:type="dxa"/>
            <w:tcBorders>
              <w:top w:val="single" w:color="000000" w:sz="4" w:space="0"/>
              <w:left w:val="single" w:color="000000" w:sz="4" w:space="0"/>
              <w:bottom w:val="single" w:color="000000" w:sz="4" w:space="0"/>
              <w:right w:val="single" w:color="000000" w:sz="4" w:space="0"/>
            </w:tcBorders>
            <w:vAlign w:val="center"/>
          </w:tcPr>
          <w:p w14:paraId="3647472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其他商业服务业用地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20787F3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r>
      <w:tr w14:paraId="50AF1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2A37DBD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1001</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52E1CA0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工业用地</w:t>
            </w:r>
          </w:p>
        </w:tc>
        <w:tc>
          <w:tcPr>
            <w:tcW w:w="4041" w:type="dxa"/>
            <w:tcBorders>
              <w:top w:val="single" w:color="000000" w:sz="4" w:space="0"/>
              <w:left w:val="single" w:color="000000" w:sz="4" w:space="0"/>
              <w:bottom w:val="single" w:color="000000" w:sz="4" w:space="0"/>
              <w:right w:val="single" w:color="000000" w:sz="4" w:space="0"/>
            </w:tcBorders>
            <w:vAlign w:val="center"/>
          </w:tcPr>
          <w:p w14:paraId="29E444C1">
            <w:pPr>
              <w:keepNext w:val="0"/>
              <w:keepLines w:val="0"/>
              <w:widowControl/>
              <w:suppressLineNumbers w:val="0"/>
              <w:jc w:val="center"/>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执行自然资源部《工业项目建设用地控制指标》</w:t>
            </w:r>
          </w:p>
        </w:tc>
      </w:tr>
      <w:tr w14:paraId="41EE0A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781B3BD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1101</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32BDE91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物流仓储用地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4EAF7B4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1D4B19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2FF8BA7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1102</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6521B06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储备库用地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2C3F3ED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w:t>
            </w:r>
          </w:p>
        </w:tc>
      </w:tr>
      <w:tr w14:paraId="1815C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66987BE6">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1207</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7A2A5C9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城镇村道路用地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30B180D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8062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1A1F97C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1208</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25DEE76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交通场站用地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33B4D5B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14:paraId="65978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46153BA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1209</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146CC96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其他交通设施用地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2DA7A4D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r>
      <w:tr w14:paraId="6866D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70D523B6">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4AFE6587">
            <w:pPr>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公用设施用地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4959993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73CFD2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4990B12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1401</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1411353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公园绿地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355C86D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5FD4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936" w:type="dxa"/>
            <w:tcBorders>
              <w:top w:val="single" w:color="000000" w:sz="4" w:space="0"/>
              <w:left w:val="single" w:color="000000" w:sz="4" w:space="0"/>
              <w:bottom w:val="single" w:color="000000" w:sz="4" w:space="0"/>
              <w:right w:val="single" w:color="000000" w:sz="4" w:space="0"/>
            </w:tcBorders>
            <w:noWrap/>
            <w:vAlign w:val="center"/>
          </w:tcPr>
          <w:p w14:paraId="3D568A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1403</w:t>
            </w:r>
          </w:p>
        </w:tc>
        <w:tc>
          <w:tcPr>
            <w:tcW w:w="3411" w:type="dxa"/>
            <w:tcBorders>
              <w:top w:val="single" w:color="000000" w:sz="4" w:space="0"/>
              <w:left w:val="single" w:color="000000" w:sz="4" w:space="0"/>
              <w:bottom w:val="single" w:color="000000" w:sz="4" w:space="0"/>
              <w:right w:val="single" w:color="000000" w:sz="4" w:space="0"/>
            </w:tcBorders>
            <w:noWrap/>
            <w:vAlign w:val="center"/>
          </w:tcPr>
          <w:p w14:paraId="3EB11AB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广场用地</w:t>
            </w:r>
          </w:p>
        </w:tc>
        <w:tc>
          <w:tcPr>
            <w:tcW w:w="4041" w:type="dxa"/>
            <w:tcBorders>
              <w:top w:val="single" w:color="000000" w:sz="4" w:space="0"/>
              <w:left w:val="single" w:color="000000" w:sz="4" w:space="0"/>
              <w:bottom w:val="single" w:color="000000" w:sz="4" w:space="0"/>
              <w:right w:val="single" w:color="000000" w:sz="4" w:space="0"/>
            </w:tcBorders>
            <w:noWrap/>
            <w:vAlign w:val="center"/>
          </w:tcPr>
          <w:p w14:paraId="0C5BA2B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bl>
    <w:p w14:paraId="324B534E">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sz w:val="24"/>
          <w:szCs w:val="24"/>
          <w:u w:val="none"/>
          <w:lang w:val="en-US" w:eastAsia="zh-CN" w:bidi="zh-CN"/>
        </w:rPr>
      </w:pPr>
      <w:r>
        <w:rPr>
          <w:rFonts w:hint="eastAsia" w:ascii="Times New Roman" w:hAnsi="Times New Roman" w:cs="宋体"/>
          <w:sz w:val="24"/>
          <w:szCs w:val="24"/>
          <w:u w:val="none"/>
          <w:lang w:val="en-US" w:eastAsia="zh-CN" w:bidi="zh-CN"/>
        </w:rPr>
        <w:t>如涉及特殊要求需突破上述规定的，应提交工程设计方案至相关部门审批并经专家论证和公示程序方可调整。</w:t>
      </w:r>
    </w:p>
    <w:p w14:paraId="2CCBD59C">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lang w:val="en-US" w:eastAsia="zh-CN"/>
        </w:rPr>
      </w:pPr>
      <w:bookmarkStart w:id="25" w:name="_Toc19155"/>
      <w:r>
        <w:rPr>
          <w:rFonts w:hint="eastAsia"/>
          <w:lang w:val="en-US" w:eastAsia="zh-CN"/>
        </w:rPr>
        <w:t>建筑密度控制</w:t>
      </w:r>
      <w:bookmarkEnd w:id="25"/>
    </w:p>
    <w:p w14:paraId="56BA018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sz w:val="24"/>
          <w:szCs w:val="24"/>
          <w:u w:val="none"/>
          <w:lang w:val="en-US" w:eastAsia="zh-CN" w:bidi="zh-CN"/>
        </w:rPr>
      </w:pPr>
      <w:r>
        <w:rPr>
          <w:rFonts w:hint="eastAsia" w:ascii="Times New Roman" w:hAnsi="Times New Roman" w:cs="宋体"/>
          <w:sz w:val="24"/>
          <w:szCs w:val="24"/>
          <w:u w:val="none"/>
          <w:lang w:val="en-US" w:eastAsia="zh-CN" w:bidi="zh-CN"/>
        </w:rPr>
        <w:t>建筑密度(D)是指规划地块内各类建筑基底面积占该地块用地面积的比例。建筑密度控制应综合考虑土地节约集约利用、功能布局协调以及通风采光等要求。本规定建筑密度指标的上限值依据不同地块用途进行确定，乡村地区各类用地的建筑密度控制如下表：</w:t>
      </w:r>
    </w:p>
    <w:p w14:paraId="2AAD636F">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outlineLvl w:val="9"/>
        <w:rPr>
          <w:rFonts w:hint="default" w:ascii="Times New Roman" w:hAnsi="Times New Roman" w:cs="宋体"/>
          <w:sz w:val="24"/>
          <w:szCs w:val="24"/>
          <w:u w:val="none"/>
          <w:lang w:val="en-US" w:eastAsia="zh-CN" w:bidi="zh-CN"/>
        </w:rPr>
      </w:pPr>
      <w:r>
        <w:rPr>
          <w:rFonts w:hint="eastAsia" w:ascii="Times New Roman" w:hAnsi="Times New Roman" w:cs="宋体"/>
          <w:sz w:val="24"/>
          <w:szCs w:val="24"/>
          <w:u w:val="none"/>
          <w:lang w:val="en-US" w:eastAsia="zh-CN" w:bidi="zh-CN"/>
        </w:rPr>
        <w:t xml:space="preserve">表4-2 </w:t>
      </w:r>
      <w:r>
        <w:rPr>
          <w:rFonts w:hint="eastAsia" w:ascii="Times New Roman" w:hAnsi="Times New Roman" w:cs="宋体"/>
          <w:u w:val="none"/>
          <w:lang w:val="en-US" w:eastAsia="zh-CN"/>
        </w:rPr>
        <w:t>乡村建设用地建筑密度一览表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7"/>
        <w:gridCol w:w="2969"/>
        <w:gridCol w:w="5448"/>
      </w:tblGrid>
      <w:tr w14:paraId="502DAF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14974CD">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代码</w:t>
            </w:r>
          </w:p>
        </w:tc>
        <w:tc>
          <w:tcPr>
            <w:tcW w:w="1578"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05E5A7B">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p>
        </w:tc>
        <w:tc>
          <w:tcPr>
            <w:tcW w:w="2896"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4EE0F26">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建筑密度（%）</w:t>
            </w:r>
          </w:p>
        </w:tc>
      </w:tr>
      <w:tr w14:paraId="33E0C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38FFC78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7770247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农村宅基地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25A1B29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36F8F3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6C0BD88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0704</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CC3211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农村社区服务设施用地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3732EB70">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3BE0D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7CCBB8C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8A5B99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机关团体用地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14BA8D87">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5E02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0D3FC3B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0802</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70FB4F6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科研用地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172D71DC">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4CBEAC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1C8549B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88F401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文化用地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65ED4FF8">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46EFC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3F7F77B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080403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FE66C5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中小学用地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077F5F66">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5CF78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191B4C8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080404</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41E92FF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幼儿园用地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189F338F">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13E9A3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157AF18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0805</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50866B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体育用地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3F04DF78">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17B7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634D8C4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0806</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638FBF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医疗卫生用地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45384543">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15D16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462D84D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0807</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4CBE267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社会福利用地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7A0B2412">
            <w:pPr>
              <w:keepNext w:val="0"/>
              <w:keepLines w:val="0"/>
              <w:widowControl/>
              <w:suppressLineNumbers w:val="0"/>
              <w:ind w:left="0" w:leftChars="0" w:right="0" w:rightChars="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F64F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58B4F34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AFD8F4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商业用地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7162CDA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r>
      <w:tr w14:paraId="237DB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0E4C2F7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0902</w:t>
            </w:r>
          </w:p>
        </w:tc>
        <w:tc>
          <w:tcPr>
            <w:tcW w:w="1578" w:type="pct"/>
            <w:tcBorders>
              <w:top w:val="single" w:color="000000" w:sz="4" w:space="0"/>
              <w:left w:val="single" w:color="000000" w:sz="4" w:space="0"/>
              <w:bottom w:val="single" w:color="000000" w:sz="4" w:space="0"/>
              <w:right w:val="nil"/>
            </w:tcBorders>
            <w:vAlign w:val="center"/>
          </w:tcPr>
          <w:p w14:paraId="38EA810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商务金融用地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547EEFE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r>
      <w:tr w14:paraId="213A3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7A0D52B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614041A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娱乐康体用地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566E013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r>
      <w:tr w14:paraId="5641E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6972671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0904</w:t>
            </w:r>
          </w:p>
        </w:tc>
        <w:tc>
          <w:tcPr>
            <w:tcW w:w="1578" w:type="pct"/>
            <w:tcBorders>
              <w:top w:val="single" w:color="000000" w:sz="4" w:space="0"/>
              <w:left w:val="single" w:color="000000" w:sz="4" w:space="0"/>
              <w:bottom w:val="single" w:color="000000" w:sz="4" w:space="0"/>
              <w:right w:val="nil"/>
            </w:tcBorders>
            <w:vAlign w:val="center"/>
          </w:tcPr>
          <w:p w14:paraId="07A3D68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其他商业服务业用地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4D7488B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≤40</w:t>
            </w:r>
          </w:p>
        </w:tc>
      </w:tr>
      <w:tr w14:paraId="7849B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5ADFBA9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738DD67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工业用地</w:t>
            </w:r>
          </w:p>
        </w:tc>
        <w:tc>
          <w:tcPr>
            <w:tcW w:w="2896" w:type="pct"/>
            <w:tcBorders>
              <w:top w:val="nil"/>
              <w:left w:val="single" w:color="000000" w:sz="4" w:space="0"/>
              <w:bottom w:val="nil"/>
              <w:right w:val="single" w:color="000000" w:sz="4" w:space="0"/>
            </w:tcBorders>
            <w:vAlign w:val="center"/>
          </w:tcPr>
          <w:p w14:paraId="051527F5">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执行自然资源部《工业项目建设用地控制指标》</w:t>
            </w:r>
          </w:p>
        </w:tc>
      </w:tr>
      <w:tr w14:paraId="31EDA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384FC30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6528B10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物流仓储用地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036AB67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1DED4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6AA6B9B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1102</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19C58B3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储备库用地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45F23F7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≤55</w:t>
            </w:r>
          </w:p>
        </w:tc>
      </w:tr>
      <w:tr w14:paraId="217A91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2EF63A7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1207</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CB158C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城镇村道路用地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166DEC2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7EA23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7EE38C7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1208</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2882B5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交通场站用地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7D1737E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14:paraId="208A8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4D43F0A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1209</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050A5F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其他交通设施用地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59340CB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≤45</w:t>
            </w:r>
          </w:p>
        </w:tc>
      </w:tr>
      <w:tr w14:paraId="5AEC4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DE2A">
            <w:pPr>
              <w:ind w:left="0" w:leftChars="0" w:right="0" w:rightChars="0"/>
              <w:jc w:val="center"/>
              <w:rPr>
                <w:rFonts w:hint="default" w:ascii="仿宋" w:hAnsi="仿宋" w:eastAsia="仿宋" w:cs="仿宋"/>
                <w:i w:val="0"/>
                <w:iCs w:val="0"/>
                <w:color w:val="000000"/>
                <w:sz w:val="24"/>
                <w:szCs w:val="24"/>
                <w:u w:val="none"/>
                <w:lang w:val="en-US" w:eastAsia="zh-CN" w:bidi="zh-CN"/>
              </w:rPr>
            </w:pPr>
            <w:r>
              <w:rPr>
                <w:rFonts w:hint="eastAsia" w:ascii="仿宋" w:hAnsi="仿宋" w:eastAsia="仿宋" w:cs="仿宋"/>
                <w:i w:val="0"/>
                <w:iCs w:val="0"/>
                <w:color w:val="000000"/>
                <w:sz w:val="24"/>
                <w:szCs w:val="24"/>
                <w:u w:val="none"/>
                <w:lang w:val="en-US" w:eastAsia="zh-CN"/>
              </w:rPr>
              <w:t>13</w:t>
            </w:r>
          </w:p>
        </w:tc>
        <w:tc>
          <w:tcPr>
            <w:tcW w:w="15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9DEF">
            <w:pPr>
              <w:ind w:left="0" w:leftChars="0" w:right="0" w:rightChars="0"/>
              <w:jc w:val="center"/>
              <w:rPr>
                <w:rFonts w:hint="default" w:ascii="仿宋" w:hAnsi="仿宋" w:eastAsia="仿宋" w:cs="仿宋"/>
                <w:i w:val="0"/>
                <w:iCs w:val="0"/>
                <w:color w:val="000000"/>
                <w:sz w:val="24"/>
                <w:szCs w:val="24"/>
                <w:u w:val="none"/>
                <w:lang w:val="en-US" w:eastAsia="zh-CN" w:bidi="zh-CN"/>
              </w:rPr>
            </w:pPr>
            <w:r>
              <w:rPr>
                <w:rFonts w:hint="eastAsia" w:ascii="仿宋" w:hAnsi="仿宋" w:eastAsia="仿宋" w:cs="仿宋"/>
                <w:i w:val="0"/>
                <w:iCs w:val="0"/>
                <w:color w:val="000000"/>
                <w:sz w:val="24"/>
                <w:szCs w:val="24"/>
                <w:u w:val="none"/>
                <w:lang w:val="en-US" w:eastAsia="zh-CN"/>
              </w:rPr>
              <w:t>公用设施用地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2EE3CB9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r>
      <w:tr w14:paraId="2742E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6D98F04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125A084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公园绿地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628D6D6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276C5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5559B98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770292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广场用地</w:t>
            </w:r>
          </w:p>
        </w:tc>
        <w:tc>
          <w:tcPr>
            <w:tcW w:w="2896" w:type="pct"/>
            <w:tcBorders>
              <w:top w:val="single" w:color="000000" w:sz="4" w:space="0"/>
              <w:left w:val="single" w:color="000000" w:sz="4" w:space="0"/>
              <w:bottom w:val="single" w:color="000000" w:sz="4" w:space="0"/>
              <w:right w:val="single" w:color="000000" w:sz="4" w:space="0"/>
            </w:tcBorders>
            <w:noWrap/>
            <w:vAlign w:val="center"/>
          </w:tcPr>
          <w:p w14:paraId="0FAFC78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bl>
    <w:p w14:paraId="42E5A054">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宋体"/>
          <w:u w:val="none"/>
          <w:lang w:val="en-US" w:eastAsia="zh-CN"/>
        </w:rPr>
      </w:pPr>
    </w:p>
    <w:p w14:paraId="718E82E6">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lang w:val="en-US" w:eastAsia="zh-CN"/>
        </w:rPr>
      </w:pPr>
      <w:bookmarkStart w:id="26" w:name="_Toc11238"/>
      <w:r>
        <w:rPr>
          <w:rFonts w:hint="eastAsia"/>
          <w:lang w:val="en-US" w:eastAsia="zh-CN"/>
        </w:rPr>
        <w:t>绿地率控制</w:t>
      </w:r>
      <w:bookmarkEnd w:id="26"/>
    </w:p>
    <w:p w14:paraId="70992C52">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ascii="Times New Roman" w:hAnsi="Times New Roman" w:cs="宋体"/>
          <w:u w:val="none"/>
          <w:lang w:val="en-US" w:eastAsia="zh-CN"/>
        </w:rPr>
      </w:pPr>
      <w:r>
        <w:rPr>
          <w:rFonts w:hint="eastAsia" w:ascii="Times New Roman" w:hAnsi="Times New Roman" w:cs="宋体"/>
          <w:u w:val="none"/>
          <w:lang w:val="en-US" w:eastAsia="zh-CN"/>
        </w:rPr>
        <w:t>绿地率（GAR）是指规划地块内绿化用地面积占总用地面积的比例，是衡量人居环境质量的重要指标之一。乡村地区绿地率应结合自然条件、功能需求及景观风貌进行合理配：</w:t>
      </w:r>
    </w:p>
    <w:p w14:paraId="4DCAC000">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outlineLvl w:val="9"/>
        <w:rPr>
          <w:rFonts w:hint="default" w:ascii="Times New Roman" w:hAnsi="Times New Roman" w:cs="宋体"/>
          <w:u w:val="none"/>
          <w:lang w:val="en-US" w:eastAsia="zh-CN"/>
        </w:rPr>
      </w:pPr>
      <w:r>
        <w:rPr>
          <w:rFonts w:hint="eastAsia" w:ascii="Times New Roman" w:hAnsi="Times New Roman" w:cs="宋体"/>
          <w:u w:val="none"/>
          <w:lang w:val="en-US" w:eastAsia="zh-CN"/>
        </w:rPr>
        <w:t>表4-3 乡村建设用地绿地率一览表</w:t>
      </w:r>
    </w:p>
    <w:tbl>
      <w:tblPr>
        <w:tblStyle w:val="17"/>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8"/>
        <w:gridCol w:w="2969"/>
        <w:gridCol w:w="5447"/>
      </w:tblGrid>
      <w:tr w14:paraId="55E59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58A6F96">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代码</w:t>
            </w:r>
          </w:p>
        </w:tc>
        <w:tc>
          <w:tcPr>
            <w:tcW w:w="1578"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D2B90B1">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p>
        </w:tc>
        <w:tc>
          <w:tcPr>
            <w:tcW w:w="289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D19FAE8">
            <w:pPr>
              <w:keepNext w:val="0"/>
              <w:keepLines w:val="0"/>
              <w:widowControl/>
              <w:suppressLineNumbers w:val="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绿地率（%）</w:t>
            </w:r>
          </w:p>
        </w:tc>
      </w:tr>
      <w:tr w14:paraId="24B0B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5D63C84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116C2EA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农村宅基地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6093C41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078CC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0D02480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0704</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524DCE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农村社区服务设施用地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663760A4">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11B50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0280706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4BBDEBC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机关团体用地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79D7CC13">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5696F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4168884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0802</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763B957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科研用地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3F734EC6">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71D44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3842C1D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276F347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文化用地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530F963B">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575636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15383DD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080403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857CB8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中小学用地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7C717092">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1EA4C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77396A8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080404</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17C7DD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幼儿园用地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3E54494C">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086EB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5E2CFD5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0805</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6AC7E9C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体育用地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0533EDA8">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40C312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7720F89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0806</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239A3A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医疗卫生用地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3E220F34">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A671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7D1AF22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0807</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7A6D0E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社会福利用地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377DF13E">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22DD18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6505729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49C186E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商业用地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261E11F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≥35</w:t>
            </w:r>
          </w:p>
        </w:tc>
      </w:tr>
      <w:tr w14:paraId="4A99AB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22B48D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0902</w:t>
            </w:r>
          </w:p>
        </w:tc>
        <w:tc>
          <w:tcPr>
            <w:tcW w:w="1578" w:type="pct"/>
            <w:tcBorders>
              <w:top w:val="single" w:color="000000" w:sz="4" w:space="0"/>
              <w:left w:val="single" w:color="000000" w:sz="4" w:space="0"/>
              <w:bottom w:val="single" w:color="000000" w:sz="4" w:space="0"/>
              <w:right w:val="nil"/>
            </w:tcBorders>
            <w:vAlign w:val="center"/>
          </w:tcPr>
          <w:p w14:paraId="45F0162F">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商务金融用地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5F4CCAA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r w14:paraId="6FEE3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4C5872C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47230D5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娱乐康体用地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517BAFA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r w14:paraId="64AF6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64D5231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0904</w:t>
            </w:r>
          </w:p>
        </w:tc>
        <w:tc>
          <w:tcPr>
            <w:tcW w:w="1578" w:type="pct"/>
            <w:tcBorders>
              <w:top w:val="single" w:color="000000" w:sz="4" w:space="0"/>
              <w:left w:val="single" w:color="000000" w:sz="4" w:space="0"/>
              <w:bottom w:val="single" w:color="000000" w:sz="4" w:space="0"/>
              <w:right w:val="nil"/>
            </w:tcBorders>
            <w:vAlign w:val="center"/>
          </w:tcPr>
          <w:p w14:paraId="5E281BF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其他商业服务业用地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37E4E25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r w14:paraId="46B41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449D4B33">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303A3A9">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工业用地</w:t>
            </w:r>
          </w:p>
        </w:tc>
        <w:tc>
          <w:tcPr>
            <w:tcW w:w="2895" w:type="pct"/>
            <w:tcBorders>
              <w:top w:val="nil"/>
              <w:left w:val="single" w:color="000000" w:sz="4" w:space="0"/>
              <w:bottom w:val="nil"/>
              <w:right w:val="single" w:color="000000" w:sz="4" w:space="0"/>
            </w:tcBorders>
            <w:vAlign w:val="center"/>
          </w:tcPr>
          <w:p w14:paraId="0E148C97">
            <w:pPr>
              <w:keepNext w:val="0"/>
              <w:keepLines w:val="0"/>
              <w:widowControl/>
              <w:suppressLineNumbers w:val="0"/>
              <w:jc w:val="left"/>
              <w:textAlignment w:val="center"/>
              <w:rPr>
                <w:rFonts w:hint="eastAsia"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执行自然资源部《工业项目建设用地控制指标》</w:t>
            </w:r>
          </w:p>
        </w:tc>
      </w:tr>
      <w:tr w14:paraId="0F515C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276377F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C91980A">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物流仓储用地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07BAA66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07A5C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2AFE489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1102</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1B6D9A8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储备库用地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534C4BC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r>
      <w:tr w14:paraId="43CAF4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0DB9A2C4">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1207</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29C5CF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城镇村道路用地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0C270EF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50F4D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6874E2A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1208</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2707CA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交通场站用地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5CF0852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r>
      <w:tr w14:paraId="7343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2BDF6390">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1209</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2007B738">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其他交通设施用地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4CDAB1E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r>
      <w:tr w14:paraId="6A4D4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88" w:type="dxa"/>
            <w:tcBorders>
              <w:top w:val="single" w:color="000000" w:sz="4" w:space="0"/>
              <w:left w:val="single" w:color="000000" w:sz="4" w:space="0"/>
              <w:bottom w:val="single" w:color="000000" w:sz="4" w:space="0"/>
              <w:right w:val="single" w:color="000000" w:sz="4" w:space="0"/>
            </w:tcBorders>
            <w:noWrap/>
            <w:vAlign w:val="center"/>
          </w:tcPr>
          <w:p w14:paraId="6FA9FB44">
            <w:pPr>
              <w:ind w:left="0" w:leftChars="0" w:right="0" w:rightChars="0"/>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w:t>
            </w:r>
          </w:p>
        </w:tc>
        <w:tc>
          <w:tcPr>
            <w:tcW w:w="2969" w:type="dxa"/>
            <w:tcBorders>
              <w:top w:val="single" w:color="000000" w:sz="4" w:space="0"/>
              <w:left w:val="single" w:color="000000" w:sz="4" w:space="0"/>
              <w:bottom w:val="single" w:color="000000" w:sz="4" w:space="0"/>
              <w:right w:val="single" w:color="000000" w:sz="4" w:space="0"/>
            </w:tcBorders>
            <w:noWrap/>
            <w:vAlign w:val="center"/>
          </w:tcPr>
          <w:p w14:paraId="5B3A21FB">
            <w:pPr>
              <w:ind w:left="0" w:leftChars="0" w:right="0" w:rightChars="0"/>
              <w:jc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公用设施用地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06580A05">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≥30</w:t>
            </w:r>
          </w:p>
        </w:tc>
      </w:tr>
      <w:tr w14:paraId="2EA42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6B9A4102">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7ADD350B">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公园绿地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456A6C91">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w:t>
            </w:r>
          </w:p>
        </w:tc>
      </w:tr>
      <w:tr w14:paraId="54E804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25" w:type="pct"/>
            <w:tcBorders>
              <w:top w:val="single" w:color="000000" w:sz="4" w:space="0"/>
              <w:left w:val="single" w:color="000000" w:sz="4" w:space="0"/>
              <w:bottom w:val="single" w:color="000000" w:sz="4" w:space="0"/>
              <w:right w:val="single" w:color="000000" w:sz="4" w:space="0"/>
            </w:tcBorders>
            <w:noWrap/>
            <w:vAlign w:val="center"/>
          </w:tcPr>
          <w:p w14:paraId="46869B87">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7BC065D">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广场用地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05F247AE">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bl>
    <w:p w14:paraId="233C614A">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ascii="Times New Roman" w:hAnsi="Times New Roman" w:cs="宋体"/>
          <w:u w:val="none"/>
          <w:lang w:val="en-US" w:eastAsia="zh-CN"/>
        </w:rPr>
      </w:pPr>
      <w:r>
        <w:rPr>
          <w:rFonts w:hint="eastAsia" w:ascii="Times New Roman" w:hAnsi="Times New Roman" w:cs="宋体"/>
          <w:u w:val="none"/>
          <w:lang w:val="en-US" w:eastAsia="zh-CN"/>
        </w:rPr>
        <w:t>如因特殊原因需对绿地率指标进行调整的，应依法依规履行相关审批程序，</w:t>
      </w:r>
    </w:p>
    <w:p w14:paraId="06140AAD">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lang w:val="en-US" w:eastAsia="zh-CN"/>
        </w:rPr>
      </w:pPr>
      <w:bookmarkStart w:id="27" w:name="_Toc14749"/>
      <w:r>
        <w:rPr>
          <w:rFonts w:hint="eastAsia"/>
          <w:lang w:val="en-US" w:eastAsia="zh-CN"/>
        </w:rPr>
        <w:t>建筑高度控制</w:t>
      </w:r>
      <w:bookmarkEnd w:id="27"/>
    </w:p>
    <w:p w14:paraId="4E62E16C">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新建、改建及现状改（扩）建农村住宅房屋</w:t>
      </w:r>
      <w:r>
        <w:rPr>
          <w:rFonts w:hint="eastAsia" w:ascii="Times New Roman" w:hAnsi="Times New Roman" w:cs="宋体"/>
          <w:b w:val="0"/>
          <w:bCs w:val="0"/>
          <w:u w:val="none"/>
          <w:lang w:val="en-US" w:eastAsia="zh-CN"/>
        </w:rPr>
        <w:t>、</w:t>
      </w:r>
      <w:r>
        <w:rPr>
          <w:rFonts w:hint="eastAsia" w:ascii="Times New Roman" w:hAnsi="Times New Roman" w:cs="宋体"/>
          <w:u w:val="none"/>
          <w:lang w:val="en-US" w:eastAsia="zh-CN"/>
        </w:rPr>
        <w:t>农村社区服务设施、公共管理与公共服务</w:t>
      </w:r>
      <w:r>
        <w:rPr>
          <w:rFonts w:hint="eastAsia" w:ascii="Times New Roman" w:hAnsi="Times New Roman" w:eastAsia="宋体" w:cs="宋体"/>
          <w:b w:val="0"/>
          <w:bCs w:val="0"/>
          <w:u w:val="none"/>
          <w:lang w:val="en-US" w:eastAsia="zh-CN"/>
        </w:rPr>
        <w:t>建筑，应符合日照标准、建筑间距规定及历史文化保护等要求。农村住宅房屋，其建筑层数不得超过三层，建筑高度不得超过十二米</w:t>
      </w:r>
      <w:r>
        <w:rPr>
          <w:rFonts w:hint="eastAsia" w:ascii="Times New Roman" w:hAnsi="Times New Roman" w:cs="宋体"/>
          <w:b w:val="0"/>
          <w:bCs w:val="0"/>
          <w:u w:val="none"/>
          <w:lang w:val="en-US" w:eastAsia="zh-CN"/>
        </w:rPr>
        <w:t>；公共管理与公共服务用地、商业服务业用地建筑高度不超过二十四米；仓储用地不超过十五米；交通运输用地及公用设施用地不超过十二米；工业用地建筑高度应结合生产工艺及安全要求合理确定。</w:t>
      </w:r>
    </w:p>
    <w:p w14:paraId="343555D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因特殊地形或功能需求确需突破上述限高要求的，应组织专项论证并报主管部门审批。位于历史文化保护区（包括但不限于历史文化名村、传统村落、文物保护单位建设控制地带等）内的新建、改建及现状改（扩）建农村住宅房屋、农村社区服务设施、公共管理与公共服务建筑，其高度控制应严格遵循历史文化遗产保护</w:t>
      </w:r>
      <w:r>
        <w:rPr>
          <w:rFonts w:hint="eastAsia" w:ascii="Times New Roman" w:hAnsi="Times New Roman" w:cs="宋体"/>
          <w:b w:val="0"/>
          <w:bCs w:val="0"/>
          <w:u w:val="none"/>
          <w:lang w:val="en-US" w:eastAsia="zh-CN"/>
        </w:rPr>
        <w:t>专项规定。</w:t>
      </w:r>
    </w:p>
    <w:p w14:paraId="70D19AD2">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新建农民集中式住宅，根据实际情况，由相关部门联合审批。</w:t>
      </w:r>
    </w:p>
    <w:p w14:paraId="732C4AE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rPr>
          <w:rFonts w:hint="eastAsia" w:ascii="Times New Roman" w:hAnsi="Times New Roman" w:cs="宋体"/>
          <w:b w:val="0"/>
          <w:bCs w:val="0"/>
          <w:u w:val="none"/>
          <w:lang w:val="en-US" w:eastAsia="zh-CN"/>
        </w:rPr>
      </w:pPr>
      <w:r>
        <w:rPr>
          <w:rFonts w:hint="eastAsia" w:ascii="Times New Roman" w:hAnsi="Times New Roman" w:cs="宋体"/>
          <w:b w:val="0"/>
          <w:bCs w:val="0"/>
          <w:u w:val="none"/>
          <w:lang w:val="en-US" w:eastAsia="zh-CN"/>
        </w:rPr>
        <w:t>表4-4 乡村建设用地高度控制一览表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88"/>
        <w:gridCol w:w="2969"/>
        <w:gridCol w:w="5447"/>
      </w:tblGrid>
      <w:tr w14:paraId="2EA8D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FE3B5B9">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代码</w:t>
            </w:r>
          </w:p>
        </w:tc>
        <w:tc>
          <w:tcPr>
            <w:tcW w:w="1578"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3732D32">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名称</w:t>
            </w:r>
          </w:p>
        </w:tc>
        <w:tc>
          <w:tcPr>
            <w:tcW w:w="2895" w:type="pct"/>
            <w:tcBorders>
              <w:top w:val="single" w:color="000000" w:sz="4" w:space="0"/>
              <w:left w:val="single" w:color="000000" w:sz="4" w:space="0"/>
              <w:bottom w:val="single" w:color="000000" w:sz="4" w:space="0"/>
              <w:right w:val="single" w:color="000000" w:sz="4" w:space="0"/>
            </w:tcBorders>
            <w:shd w:val="clear" w:color="auto" w:fill="E7E6E6"/>
            <w:vAlign w:val="center"/>
          </w:tcPr>
          <w:p w14:paraId="527A7739">
            <w:pPr>
              <w:keepNext w:val="0"/>
              <w:keepLines w:val="0"/>
              <w:widowControl/>
              <w:suppressLineNumbers w:val="0"/>
              <w:jc w:val="center"/>
              <w:textAlignment w:val="center"/>
              <w:rPr>
                <w:rFonts w:hint="default"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建筑高度（m）</w:t>
            </w:r>
          </w:p>
        </w:tc>
      </w:tr>
      <w:tr w14:paraId="7FB6E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3A11BEF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7B48F8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农村宅基地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68273B6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265D1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14EFEC2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0704</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0E82A6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农村社区服务设施用地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0BD942D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4802B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7EA8B84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CF0D79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机关团体用地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589AC4AB">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34C40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05B4A3E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0802</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44A9C9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科研用地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0BBF663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5141E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1C7DBF3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632932F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文化用地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60E623A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6C5D3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644BA1B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080403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17CF305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中小学用地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39F9E71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49D66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7C3E78B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080404</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5697B0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幼儿园用地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370814D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14:paraId="75BF7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1E6B8B7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0805</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184AF7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体育用地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3A80DE5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14:paraId="423EE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201E6BAE">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0806</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69A05B7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医疗卫生用地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066C0C1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14:paraId="6EF2F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304B0B3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0807</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A33B8F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社会福利用地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55B2530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19237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0FEB9B7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4A97E8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商业用地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6CC27B5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r>
      <w:tr w14:paraId="2D9DE7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5F0C914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0902</w:t>
            </w:r>
          </w:p>
        </w:tc>
        <w:tc>
          <w:tcPr>
            <w:tcW w:w="1578" w:type="pct"/>
            <w:tcBorders>
              <w:top w:val="single" w:color="000000" w:sz="4" w:space="0"/>
              <w:left w:val="single" w:color="000000" w:sz="4" w:space="0"/>
              <w:bottom w:val="single" w:color="000000" w:sz="4" w:space="0"/>
              <w:right w:val="nil"/>
            </w:tcBorders>
            <w:vAlign w:val="center"/>
          </w:tcPr>
          <w:p w14:paraId="2F487A7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商务金融用地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087A0102">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52455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7CED89D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18AE8E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娱乐康体用地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6EBC154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225D58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31B9083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0904</w:t>
            </w:r>
          </w:p>
        </w:tc>
        <w:tc>
          <w:tcPr>
            <w:tcW w:w="1578" w:type="pct"/>
            <w:tcBorders>
              <w:top w:val="single" w:color="000000" w:sz="4" w:space="0"/>
              <w:left w:val="single" w:color="000000" w:sz="4" w:space="0"/>
              <w:bottom w:val="single" w:color="000000" w:sz="4" w:space="0"/>
              <w:right w:val="nil"/>
            </w:tcBorders>
            <w:vAlign w:val="center"/>
          </w:tcPr>
          <w:p w14:paraId="01EF1E9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其他商业服务业用地</w:t>
            </w:r>
          </w:p>
        </w:tc>
        <w:tc>
          <w:tcPr>
            <w:tcW w:w="2895" w:type="pct"/>
            <w:tcBorders>
              <w:top w:val="single" w:color="000000" w:sz="4" w:space="0"/>
              <w:left w:val="single" w:color="000000" w:sz="4" w:space="0"/>
              <w:bottom w:val="single" w:color="000000" w:sz="4" w:space="0"/>
              <w:right w:val="single" w:color="000000" w:sz="4" w:space="0"/>
            </w:tcBorders>
            <w:vAlign w:val="center"/>
          </w:tcPr>
          <w:p w14:paraId="363D2FD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≤24</w:t>
            </w:r>
          </w:p>
        </w:tc>
      </w:tr>
      <w:tr w14:paraId="22FE8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1E6AA75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1001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5AE91B18">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工业用地</w:t>
            </w:r>
          </w:p>
        </w:tc>
        <w:tc>
          <w:tcPr>
            <w:tcW w:w="2895" w:type="pct"/>
            <w:tcBorders>
              <w:top w:val="nil"/>
              <w:left w:val="single" w:color="000000" w:sz="4" w:space="0"/>
              <w:bottom w:val="single" w:color="000000" w:sz="4" w:space="0"/>
              <w:right w:val="single" w:color="000000" w:sz="4" w:space="0"/>
            </w:tcBorders>
            <w:vAlign w:val="center"/>
          </w:tcPr>
          <w:p w14:paraId="5BC6D622">
            <w:pPr>
              <w:keepNext w:val="0"/>
              <w:keepLines w:val="0"/>
              <w:widowControl/>
              <w:suppressLineNumbers w:val="0"/>
              <w:jc w:val="left"/>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执行自然资源部《工业项目建设用地控制指标》</w:t>
            </w:r>
          </w:p>
        </w:tc>
      </w:tr>
      <w:tr w14:paraId="1B8484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7009DA0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CEB6FE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物流仓储用地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68748037">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D241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33D4529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1102</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20609FB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储备库用地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3BF66456">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r>
      <w:tr w14:paraId="64C21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06EB1A5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1207</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8780FB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城镇村道路用地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6EDC34C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36334E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0070069C">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1208</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013FDB7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交通场站用地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542F5BA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277D6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5845C690">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1209</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10DA6383">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其他交通设施用地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00E7BE7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28CCB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88" w:type="dxa"/>
            <w:tcBorders>
              <w:top w:val="single" w:color="000000" w:sz="4" w:space="0"/>
              <w:left w:val="single" w:color="000000" w:sz="4" w:space="0"/>
              <w:bottom w:val="single" w:color="000000" w:sz="4" w:space="0"/>
              <w:right w:val="single" w:color="000000" w:sz="4" w:space="0"/>
            </w:tcBorders>
            <w:noWrap/>
            <w:vAlign w:val="center"/>
          </w:tcPr>
          <w:p w14:paraId="12474080">
            <w:pPr>
              <w:ind w:left="0" w:leftChars="0" w:right="0" w:rightChars="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13</w:t>
            </w:r>
          </w:p>
        </w:tc>
        <w:tc>
          <w:tcPr>
            <w:tcW w:w="2969" w:type="dxa"/>
            <w:tcBorders>
              <w:top w:val="single" w:color="000000" w:sz="4" w:space="0"/>
              <w:left w:val="single" w:color="000000" w:sz="4" w:space="0"/>
              <w:bottom w:val="single" w:color="000000" w:sz="4" w:space="0"/>
              <w:right w:val="single" w:color="000000" w:sz="4" w:space="0"/>
            </w:tcBorders>
            <w:noWrap/>
            <w:vAlign w:val="center"/>
          </w:tcPr>
          <w:p w14:paraId="4BD21C1E">
            <w:pPr>
              <w:ind w:left="0" w:leftChars="0" w:right="0" w:rightChars="0"/>
              <w:jc w:val="center"/>
              <w:rPr>
                <w:rFonts w:hint="default"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公用设施用地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07163015">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r>
      <w:tr w14:paraId="144B69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54FAE42D">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1401</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2196A0A1">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公园绿地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4988E47A">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r w14:paraId="634E1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5" w:type="pct"/>
            <w:tcBorders>
              <w:top w:val="single" w:color="000000" w:sz="4" w:space="0"/>
              <w:left w:val="single" w:color="000000" w:sz="4" w:space="0"/>
              <w:bottom w:val="single" w:color="000000" w:sz="4" w:space="0"/>
              <w:right w:val="single" w:color="000000" w:sz="4" w:space="0"/>
            </w:tcBorders>
            <w:noWrap/>
            <w:vAlign w:val="center"/>
          </w:tcPr>
          <w:p w14:paraId="56100299">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1403</w:t>
            </w:r>
          </w:p>
        </w:tc>
        <w:tc>
          <w:tcPr>
            <w:tcW w:w="1578" w:type="pct"/>
            <w:tcBorders>
              <w:top w:val="single" w:color="000000" w:sz="4" w:space="0"/>
              <w:left w:val="single" w:color="000000" w:sz="4" w:space="0"/>
              <w:bottom w:val="single" w:color="000000" w:sz="4" w:space="0"/>
              <w:right w:val="single" w:color="000000" w:sz="4" w:space="0"/>
            </w:tcBorders>
            <w:noWrap/>
            <w:vAlign w:val="center"/>
          </w:tcPr>
          <w:p w14:paraId="36E8B724">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广场用地</w:t>
            </w:r>
          </w:p>
        </w:tc>
        <w:tc>
          <w:tcPr>
            <w:tcW w:w="2895" w:type="pct"/>
            <w:tcBorders>
              <w:top w:val="single" w:color="000000" w:sz="4" w:space="0"/>
              <w:left w:val="single" w:color="000000" w:sz="4" w:space="0"/>
              <w:bottom w:val="single" w:color="000000" w:sz="4" w:space="0"/>
              <w:right w:val="single" w:color="000000" w:sz="4" w:space="0"/>
            </w:tcBorders>
            <w:noWrap/>
            <w:vAlign w:val="center"/>
          </w:tcPr>
          <w:p w14:paraId="1101D70F">
            <w:pPr>
              <w:keepNext w:val="0"/>
              <w:keepLines w:val="0"/>
              <w:widowControl/>
              <w:suppressLineNumbers w:val="0"/>
              <w:jc w:val="center"/>
              <w:textAlignment w:val="center"/>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w:t>
            </w:r>
          </w:p>
        </w:tc>
      </w:tr>
    </w:tbl>
    <w:p w14:paraId="4923E5F3">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rPr>
          <w:rFonts w:hint="default" w:ascii="Times New Roman" w:hAnsi="Times New Roman" w:cs="宋体"/>
          <w:b w:val="0"/>
          <w:bCs w:val="0"/>
          <w:u w:val="none"/>
          <w:lang w:val="en-US" w:eastAsia="zh-CN"/>
        </w:rPr>
      </w:pPr>
    </w:p>
    <w:p w14:paraId="0877DF6B">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lang w:val="en-US" w:eastAsia="zh-CN"/>
        </w:rPr>
      </w:pPr>
      <w:bookmarkStart w:id="28" w:name="_Toc23129"/>
      <w:r>
        <w:rPr>
          <w:rFonts w:hint="eastAsia"/>
          <w:lang w:val="en-US" w:eastAsia="zh-CN"/>
        </w:rPr>
        <w:t>各类用地控制指标汇总</w:t>
      </w:r>
      <w:bookmarkEnd w:id="28"/>
    </w:p>
    <w:p w14:paraId="01E3B0CF">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rPr>
          <w:rFonts w:hint="eastAsia" w:ascii="Times New Roman" w:hAnsi="Times New Roman" w:cs="宋体"/>
          <w:b w:val="0"/>
          <w:bCs w:val="0"/>
          <w:u w:val="none"/>
          <w:lang w:val="en-US" w:eastAsia="zh-CN"/>
        </w:rPr>
      </w:pPr>
      <w:r>
        <w:rPr>
          <w:rFonts w:hint="eastAsia" w:ascii="Times New Roman" w:hAnsi="Times New Roman" w:cs="宋体"/>
          <w:b w:val="0"/>
          <w:bCs w:val="0"/>
          <w:u w:val="none"/>
          <w:lang w:val="en-US" w:eastAsia="zh-CN"/>
        </w:rPr>
        <w:t>表4-5 阳山县乡村建设用地控制指标汇总表</w:t>
      </w: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6"/>
        <w:gridCol w:w="1556"/>
        <w:gridCol w:w="1211"/>
        <w:gridCol w:w="2588"/>
        <w:gridCol w:w="1004"/>
        <w:gridCol w:w="834"/>
        <w:gridCol w:w="736"/>
        <w:gridCol w:w="739"/>
      </w:tblGrid>
      <w:tr w14:paraId="0DCC9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270" w:hRule="atLeast"/>
        </w:trPr>
        <w:tc>
          <w:tcPr>
            <w:tcW w:w="1218" w:type="pct"/>
            <w:gridSpan w:val="2"/>
            <w:vMerge w:val="restar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83EFB37">
            <w:pPr>
              <w:keepNext w:val="0"/>
              <w:keepLines w:val="0"/>
              <w:widowControl/>
              <w:suppressLineNumbers w:val="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一级类</w:t>
            </w:r>
          </w:p>
        </w:tc>
        <w:tc>
          <w:tcPr>
            <w:tcW w:w="2019" w:type="pct"/>
            <w:gridSpan w:val="2"/>
            <w:vMerge w:val="restar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EBB47C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二（三）级类</w:t>
            </w:r>
          </w:p>
        </w:tc>
        <w:tc>
          <w:tcPr>
            <w:tcW w:w="533" w:type="pct"/>
            <w:vMerge w:val="restar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4DB3625">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容积率</w:t>
            </w:r>
          </w:p>
        </w:tc>
        <w:tc>
          <w:tcPr>
            <w:tcW w:w="443" w:type="pct"/>
            <w:vMerge w:val="restar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FD6545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建筑密度（%）</w:t>
            </w:r>
          </w:p>
        </w:tc>
        <w:tc>
          <w:tcPr>
            <w:tcW w:w="391" w:type="pct"/>
            <w:vMerge w:val="restar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8C34E47">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绿地率（%）</w:t>
            </w:r>
          </w:p>
        </w:tc>
        <w:tc>
          <w:tcPr>
            <w:tcW w:w="392" w:type="pct"/>
            <w:vMerge w:val="restart"/>
            <w:tcBorders>
              <w:top w:val="single" w:color="000000" w:sz="4" w:space="0"/>
              <w:left w:val="single" w:color="000000" w:sz="4" w:space="0"/>
              <w:bottom w:val="single" w:color="000000" w:sz="4" w:space="0"/>
              <w:right w:val="single" w:color="000000" w:sz="4" w:space="0"/>
            </w:tcBorders>
            <w:shd w:val="clear" w:color="auto" w:fill="E7E6E6"/>
            <w:vAlign w:val="center"/>
          </w:tcPr>
          <w:p w14:paraId="051370B2">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建筑高度（m）</w:t>
            </w:r>
          </w:p>
        </w:tc>
      </w:tr>
      <w:tr w14:paraId="0F9AE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1218" w:type="pct"/>
            <w:gridSpan w:val="2"/>
            <w:vMerge w:val="continue"/>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06E7028">
            <w:pPr>
              <w:jc w:val="center"/>
              <w:rPr>
                <w:rFonts w:hint="eastAsia" w:ascii="仿宋" w:hAnsi="仿宋" w:eastAsia="仿宋" w:cs="仿宋"/>
                <w:b/>
                <w:bCs/>
                <w:i w:val="0"/>
                <w:iCs w:val="0"/>
                <w:color w:val="000000"/>
                <w:sz w:val="24"/>
                <w:szCs w:val="24"/>
                <w:u w:val="none"/>
              </w:rPr>
            </w:pPr>
          </w:p>
        </w:tc>
        <w:tc>
          <w:tcPr>
            <w:tcW w:w="2019" w:type="pct"/>
            <w:gridSpan w:val="2"/>
            <w:vMerge w:val="continue"/>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71CF5834">
            <w:pPr>
              <w:jc w:val="center"/>
              <w:rPr>
                <w:rFonts w:hint="eastAsia" w:ascii="仿宋" w:hAnsi="仿宋" w:eastAsia="仿宋" w:cs="仿宋"/>
                <w:b/>
                <w:bCs/>
                <w:i w:val="0"/>
                <w:iCs w:val="0"/>
                <w:color w:val="000000"/>
                <w:sz w:val="24"/>
                <w:szCs w:val="24"/>
                <w:u w:val="none"/>
              </w:rPr>
            </w:pP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13F4987B">
            <w:pPr>
              <w:jc w:val="center"/>
              <w:rPr>
                <w:rFonts w:hint="eastAsia" w:ascii="仿宋" w:hAnsi="仿宋" w:eastAsia="仿宋" w:cs="仿宋"/>
                <w:b/>
                <w:bCs/>
                <w:i w:val="0"/>
                <w:iCs w:val="0"/>
                <w:color w:val="000000"/>
                <w:sz w:val="24"/>
                <w:szCs w:val="24"/>
                <w:u w:val="none"/>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9D840B8">
            <w:pPr>
              <w:jc w:val="center"/>
              <w:rPr>
                <w:rFonts w:hint="eastAsia" w:ascii="仿宋" w:hAnsi="仿宋" w:eastAsia="仿宋" w:cs="仿宋"/>
                <w:b/>
                <w:bCs/>
                <w:i w:val="0"/>
                <w:iCs w:val="0"/>
                <w:color w:val="000000"/>
                <w:sz w:val="24"/>
                <w:szCs w:val="24"/>
                <w:u w:val="none"/>
              </w:rPr>
            </w:pPr>
          </w:p>
        </w:tc>
        <w:tc>
          <w:tcPr>
            <w:tcW w:w="391" w:type="pct"/>
            <w:vMerge w:val="continue"/>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D80B281">
            <w:pPr>
              <w:jc w:val="center"/>
              <w:rPr>
                <w:rFonts w:hint="eastAsia" w:ascii="仿宋" w:hAnsi="仿宋" w:eastAsia="仿宋" w:cs="仿宋"/>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E7E6E6"/>
            <w:vAlign w:val="center"/>
          </w:tcPr>
          <w:p w14:paraId="3C22B7A8">
            <w:pPr>
              <w:jc w:val="center"/>
              <w:rPr>
                <w:rFonts w:hint="eastAsia" w:ascii="仿宋" w:hAnsi="仿宋" w:eastAsia="仿宋" w:cs="仿宋"/>
                <w:b/>
                <w:bCs/>
                <w:i w:val="0"/>
                <w:iCs w:val="0"/>
                <w:color w:val="000000"/>
                <w:sz w:val="24"/>
                <w:szCs w:val="24"/>
                <w:u w:val="none"/>
              </w:rPr>
            </w:pPr>
          </w:p>
        </w:tc>
      </w:tr>
      <w:tr w14:paraId="042AC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1"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25095A1B">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代码</w:t>
            </w:r>
          </w:p>
        </w:tc>
        <w:tc>
          <w:tcPr>
            <w:tcW w:w="827"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34076BD9">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643"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683289D3">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代码</w:t>
            </w:r>
          </w:p>
        </w:tc>
        <w:tc>
          <w:tcPr>
            <w:tcW w:w="1376" w:type="pct"/>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C4310FD">
            <w:pPr>
              <w:keepNext w:val="0"/>
              <w:keepLines w:val="0"/>
              <w:widowControl/>
              <w:suppressLineNumbers w:val="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名称</w:t>
            </w:r>
          </w:p>
        </w:tc>
        <w:tc>
          <w:tcPr>
            <w:tcW w:w="533" w:type="pct"/>
            <w:vMerge w:val="continue"/>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005FE684">
            <w:pPr>
              <w:jc w:val="center"/>
              <w:rPr>
                <w:rFonts w:hint="eastAsia" w:ascii="仿宋" w:hAnsi="仿宋" w:eastAsia="仿宋" w:cs="仿宋"/>
                <w:b/>
                <w:bCs/>
                <w:i w:val="0"/>
                <w:iCs w:val="0"/>
                <w:color w:val="000000"/>
                <w:sz w:val="24"/>
                <w:szCs w:val="24"/>
                <w:u w:val="none"/>
              </w:rPr>
            </w:pPr>
          </w:p>
        </w:tc>
        <w:tc>
          <w:tcPr>
            <w:tcW w:w="443" w:type="pct"/>
            <w:vMerge w:val="continue"/>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49AE2C3D">
            <w:pPr>
              <w:jc w:val="center"/>
              <w:rPr>
                <w:rFonts w:hint="eastAsia" w:ascii="仿宋" w:hAnsi="仿宋" w:eastAsia="仿宋" w:cs="仿宋"/>
                <w:b/>
                <w:bCs/>
                <w:i w:val="0"/>
                <w:iCs w:val="0"/>
                <w:color w:val="000000"/>
                <w:sz w:val="24"/>
                <w:szCs w:val="24"/>
                <w:u w:val="none"/>
              </w:rPr>
            </w:pPr>
          </w:p>
        </w:tc>
        <w:tc>
          <w:tcPr>
            <w:tcW w:w="391" w:type="pct"/>
            <w:vMerge w:val="continue"/>
            <w:tcBorders>
              <w:top w:val="single" w:color="000000" w:sz="4" w:space="0"/>
              <w:left w:val="single" w:color="000000" w:sz="4" w:space="0"/>
              <w:bottom w:val="single" w:color="000000" w:sz="4" w:space="0"/>
              <w:right w:val="single" w:color="000000" w:sz="4" w:space="0"/>
            </w:tcBorders>
            <w:shd w:val="clear" w:color="auto" w:fill="E7E6E6"/>
            <w:noWrap/>
            <w:vAlign w:val="center"/>
          </w:tcPr>
          <w:p w14:paraId="504C77E4">
            <w:pPr>
              <w:jc w:val="center"/>
              <w:rPr>
                <w:rFonts w:hint="eastAsia" w:ascii="仿宋" w:hAnsi="仿宋" w:eastAsia="仿宋" w:cs="仿宋"/>
                <w:b/>
                <w:bCs/>
                <w:i w:val="0"/>
                <w:iCs w:val="0"/>
                <w:color w:val="000000"/>
                <w:sz w:val="24"/>
                <w:szCs w:val="24"/>
                <w:u w:val="none"/>
              </w:rPr>
            </w:pPr>
          </w:p>
        </w:tc>
        <w:tc>
          <w:tcPr>
            <w:tcW w:w="392" w:type="pct"/>
            <w:vMerge w:val="continue"/>
            <w:tcBorders>
              <w:top w:val="single" w:color="000000" w:sz="4" w:space="0"/>
              <w:left w:val="single" w:color="000000" w:sz="4" w:space="0"/>
              <w:bottom w:val="single" w:color="000000" w:sz="4" w:space="0"/>
              <w:right w:val="single" w:color="000000" w:sz="4" w:space="0"/>
            </w:tcBorders>
            <w:shd w:val="clear" w:color="auto" w:fill="E7E6E6"/>
            <w:vAlign w:val="center"/>
          </w:tcPr>
          <w:p w14:paraId="4DFE8444">
            <w:pPr>
              <w:jc w:val="center"/>
              <w:rPr>
                <w:rFonts w:hint="eastAsia" w:ascii="仿宋" w:hAnsi="仿宋" w:eastAsia="仿宋" w:cs="仿宋"/>
                <w:b/>
                <w:bCs/>
                <w:i w:val="0"/>
                <w:iCs w:val="0"/>
                <w:color w:val="000000"/>
                <w:sz w:val="24"/>
                <w:szCs w:val="24"/>
                <w:u w:val="none"/>
              </w:rPr>
            </w:pPr>
          </w:p>
        </w:tc>
      </w:tr>
      <w:tr w14:paraId="1120C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E2A5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651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居住</w:t>
            </w:r>
            <w:r>
              <w:rPr>
                <w:rFonts w:hint="eastAsia" w:ascii="仿宋" w:hAnsi="仿宋" w:eastAsia="仿宋" w:cs="仿宋"/>
                <w:i w:val="0"/>
                <w:iCs w:val="0"/>
                <w:color w:val="000000"/>
                <w:kern w:val="0"/>
                <w:sz w:val="24"/>
                <w:szCs w:val="24"/>
                <w:u w:val="none"/>
                <w:lang w:val="en-US" w:eastAsia="zh-CN" w:bidi="ar"/>
              </w:rPr>
              <w:br w:type="textWrapping"/>
            </w:r>
            <w:r>
              <w:rPr>
                <w:rFonts w:hint="eastAsia" w:ascii="仿宋" w:hAnsi="仿宋" w:eastAsia="仿宋" w:cs="仿宋"/>
                <w:i w:val="0"/>
                <w:iCs w:val="0"/>
                <w:color w:val="000000"/>
                <w:kern w:val="0"/>
                <w:sz w:val="24"/>
                <w:szCs w:val="24"/>
                <w:u w:val="none"/>
                <w:lang w:val="en-US" w:eastAsia="zh-CN" w:bidi="ar"/>
              </w:rPr>
              <w:t>用地</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BD0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0703</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3075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农村宅基地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37C1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D8BD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165B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34F4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489DA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918FC">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E3CA6">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98E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0704</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936C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农村社区服务设施用地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12155">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63989">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A772C">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7EFE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05DA5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B411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6C49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公共管理与公共服务用地</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B44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0801</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EB7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机关团体用地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B1513">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A04FB">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10C7">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F698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14:paraId="1C1EC6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C56CC">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D3137">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934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0802</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6F3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科研用地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986B">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4A37F">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B6CA4">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BF9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14:paraId="1B8B24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70B1">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3B4B8">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7C6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0803</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5A9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文化用地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EF605">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FEF872">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30637">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D947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14:paraId="5C9171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59A99">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CCD93">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0689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080403</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F31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中小学用地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3DED">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169DE">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5F4CE">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9612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14:paraId="1499F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6F7AFA">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C3CCC">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191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080404</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6630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幼儿园用地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DEC095">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8E70C">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168C4">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B8B0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r>
      <w:tr w14:paraId="4E4D6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E2D70">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0D02A">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6EE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0805</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237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体育用地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B6863">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7BE32">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FF0D6">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8A8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r>
      <w:tr w14:paraId="6F67D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1291B">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EC4B8">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08D2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0806</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D49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医疗卫生用地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2A8F0">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35E9">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63D2D">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4882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r>
      <w:tr w14:paraId="677B1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E7A7B">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808F">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738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0807</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535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社会福利用地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1362">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733A4">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8C207">
            <w:pPr>
              <w:keepNext w:val="0"/>
              <w:keepLines w:val="0"/>
              <w:widowControl/>
              <w:suppressLineNumbers w:val="0"/>
              <w:ind w:left="0" w:leftChars="0" w:right="0" w:right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E75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14:paraId="2648F4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BF2C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5C7B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商业服务业用地</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DD4E4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0901</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A42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商业用地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C73D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A48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86CC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≥35</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B5A3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≤18</w:t>
            </w:r>
          </w:p>
        </w:tc>
      </w:tr>
      <w:tr w14:paraId="4626CD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783FF">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6925">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5868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0902</w:t>
            </w:r>
          </w:p>
        </w:tc>
        <w:tc>
          <w:tcPr>
            <w:tcW w:w="1376" w:type="pct"/>
            <w:tcBorders>
              <w:top w:val="single" w:color="000000" w:sz="4" w:space="0"/>
              <w:left w:val="single" w:color="000000" w:sz="4" w:space="0"/>
              <w:bottom w:val="nil"/>
              <w:right w:val="single" w:color="000000" w:sz="4" w:space="0"/>
            </w:tcBorders>
            <w:shd w:val="clear" w:color="auto" w:fill="auto"/>
            <w:vAlign w:val="center"/>
          </w:tcPr>
          <w:p w14:paraId="53ABA91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商务金融用地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BE1E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863C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102B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4ECE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14:paraId="2AA34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58CDD">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D258">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1692A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0903</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8F0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娱乐康体用地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AA7B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4E9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18A4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F8BF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14:paraId="7A3226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77C18">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30EB8">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D657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0904</w:t>
            </w:r>
          </w:p>
        </w:tc>
        <w:tc>
          <w:tcPr>
            <w:tcW w:w="1376" w:type="pct"/>
            <w:tcBorders>
              <w:top w:val="single" w:color="000000" w:sz="4" w:space="0"/>
              <w:left w:val="single" w:color="000000" w:sz="4" w:space="0"/>
              <w:bottom w:val="nil"/>
              <w:right w:val="single" w:color="000000" w:sz="4" w:space="0"/>
            </w:tcBorders>
            <w:shd w:val="clear" w:color="auto" w:fill="auto"/>
            <w:vAlign w:val="center"/>
          </w:tcPr>
          <w:p w14:paraId="0AFF577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其他商业服务业用地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E762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AB83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≤40</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E704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29A1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≤24</w:t>
            </w:r>
          </w:p>
        </w:tc>
      </w:tr>
      <w:tr w14:paraId="6B50F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9C8A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00E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工矿0用地</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3A9D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1001</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5F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工业用地</w:t>
            </w:r>
          </w:p>
        </w:tc>
        <w:tc>
          <w:tcPr>
            <w:tcW w:w="176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16C103">
            <w:pPr>
              <w:keepNext w:val="0"/>
              <w:keepLines w:val="0"/>
              <w:widowControl/>
              <w:suppressLineNumbers w:val="0"/>
              <w:jc w:val="center"/>
              <w:textAlignment w:val="center"/>
              <w:rPr>
                <w:rFonts w:hint="eastAsia" w:ascii="仿宋" w:hAnsi="仿宋" w:eastAsia="仿宋" w:cs="仿宋"/>
                <w:i w:val="0"/>
                <w:iCs w:val="0"/>
                <w:color w:val="000000"/>
                <w:sz w:val="22"/>
                <w:szCs w:val="22"/>
                <w:u w:val="none"/>
              </w:rPr>
            </w:pPr>
            <w:r>
              <w:rPr>
                <w:rFonts w:hint="eastAsia" w:ascii="仿宋" w:hAnsi="仿宋" w:eastAsia="仿宋" w:cs="仿宋"/>
                <w:i w:val="0"/>
                <w:iCs w:val="0"/>
                <w:color w:val="000000"/>
                <w:kern w:val="0"/>
                <w:sz w:val="22"/>
                <w:szCs w:val="22"/>
                <w:u w:val="none"/>
                <w:lang w:val="en-US" w:eastAsia="zh-CN" w:bidi="ar"/>
              </w:rPr>
              <w:t>执行自然资源部《工业项目建设用地控制指标》</w:t>
            </w:r>
          </w:p>
        </w:tc>
      </w:tr>
      <w:tr w14:paraId="02838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restart"/>
            <w:tcBorders>
              <w:top w:val="single" w:color="000000" w:sz="4" w:space="0"/>
              <w:left w:val="single" w:color="000000" w:sz="4" w:space="0"/>
              <w:bottom w:val="nil"/>
              <w:right w:val="single" w:color="000000" w:sz="4" w:space="0"/>
            </w:tcBorders>
            <w:shd w:val="clear" w:color="auto" w:fill="auto"/>
            <w:noWrap/>
            <w:vAlign w:val="center"/>
          </w:tcPr>
          <w:p w14:paraId="5DC93A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827" w:type="pct"/>
            <w:vMerge w:val="restart"/>
            <w:tcBorders>
              <w:top w:val="single" w:color="000000" w:sz="4" w:space="0"/>
              <w:left w:val="single" w:color="000000" w:sz="4" w:space="0"/>
              <w:bottom w:val="nil"/>
              <w:right w:val="single" w:color="000000" w:sz="4" w:space="0"/>
            </w:tcBorders>
            <w:shd w:val="clear" w:color="auto" w:fill="auto"/>
            <w:noWrap/>
            <w:vAlign w:val="center"/>
          </w:tcPr>
          <w:p w14:paraId="4CB2F8B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仓储用地</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C7B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1101</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0304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物流仓储用地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772E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5EEC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1192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A18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r>
      <w:tr w14:paraId="7F39C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nil"/>
              <w:right w:val="single" w:color="000000" w:sz="4" w:space="0"/>
            </w:tcBorders>
            <w:shd w:val="clear" w:color="auto" w:fill="auto"/>
            <w:noWrap/>
            <w:vAlign w:val="center"/>
          </w:tcPr>
          <w:p w14:paraId="551C80D7">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nil"/>
              <w:right w:val="single" w:color="000000" w:sz="4" w:space="0"/>
            </w:tcBorders>
            <w:shd w:val="clear" w:color="auto" w:fill="auto"/>
            <w:noWrap/>
            <w:vAlign w:val="center"/>
          </w:tcPr>
          <w:p w14:paraId="1E3D279F">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221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1102</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E740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储备库用地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DF15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≥0.8</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3B87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≤55</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66831">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E0DD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r>
      <w:tr w14:paraId="0EE78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73A1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085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交通运输用地</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308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1207</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CDD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城镇村道路用地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7180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F4E4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4CAB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C49C7">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r>
      <w:tr w14:paraId="77DA0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9248B">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D18EB">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C839">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1208</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DB03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交通场站用地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DF5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441B56">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9382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5EAD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35112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1FCEE">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0511E">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8E8F8">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1209</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5535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其他交通设施用地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8931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9ED8F">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≤45</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BFD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A6DC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79570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6516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8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9FD1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公用设施用地</w:t>
            </w:r>
          </w:p>
        </w:tc>
        <w:tc>
          <w:tcPr>
            <w:tcW w:w="201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3BA5F">
            <w:pPr>
              <w:jc w:val="center"/>
              <w:rPr>
                <w:rFonts w:hint="eastAsia" w:ascii="仿宋" w:hAnsi="仿宋" w:eastAsia="仿宋" w:cs="仿宋"/>
                <w:i w:val="0"/>
                <w:iCs w:val="0"/>
                <w:color w:val="000000"/>
                <w:sz w:val="24"/>
                <w:szCs w:val="24"/>
                <w:u w:val="none"/>
              </w:rPr>
            </w:pP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5D84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A54535">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26A0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1E65B">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r>
      <w:tr w14:paraId="27F92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E3B4E">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w:t>
            </w:r>
          </w:p>
        </w:tc>
        <w:tc>
          <w:tcPr>
            <w:tcW w:w="8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8B00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绿地与开敞空间</w:t>
            </w: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57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1401</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BA7B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公园绿地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304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F97A">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C4A6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≥90</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57AF3">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r>
      <w:tr w14:paraId="334CA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0463F">
            <w:pPr>
              <w:jc w:val="center"/>
              <w:rPr>
                <w:rFonts w:hint="eastAsia" w:ascii="仿宋" w:hAnsi="仿宋" w:eastAsia="仿宋" w:cs="仿宋"/>
                <w:i w:val="0"/>
                <w:iCs w:val="0"/>
                <w:color w:val="000000"/>
                <w:sz w:val="24"/>
                <w:szCs w:val="24"/>
                <w:u w:val="none"/>
              </w:rPr>
            </w:pPr>
          </w:p>
        </w:tc>
        <w:tc>
          <w:tcPr>
            <w:tcW w:w="8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F31A">
            <w:pPr>
              <w:jc w:val="center"/>
              <w:rPr>
                <w:rFonts w:hint="eastAsia" w:ascii="仿宋" w:hAnsi="仿宋" w:eastAsia="仿宋" w:cs="仿宋"/>
                <w:i w:val="0"/>
                <w:iCs w:val="0"/>
                <w:color w:val="000000"/>
                <w:sz w:val="24"/>
                <w:szCs w:val="24"/>
                <w:u w:val="none"/>
              </w:rPr>
            </w:pPr>
          </w:p>
        </w:tc>
        <w:tc>
          <w:tcPr>
            <w:tcW w:w="6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B1A64">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1403</w:t>
            </w:r>
          </w:p>
        </w:tc>
        <w:tc>
          <w:tcPr>
            <w:tcW w:w="137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A6A62">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广场用地</w:t>
            </w:r>
          </w:p>
        </w:tc>
        <w:tc>
          <w:tcPr>
            <w:tcW w:w="53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E4F5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6B2480">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4C53D">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c>
          <w:tcPr>
            <w:tcW w:w="3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4F3CC">
            <w:pPr>
              <w:keepNext w:val="0"/>
              <w:keepLines w:val="0"/>
              <w:widowControl/>
              <w:suppressLineNumbers w:val="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w:t>
            </w:r>
          </w:p>
        </w:tc>
      </w:tr>
    </w:tbl>
    <w:p w14:paraId="6D6BD5C7">
      <w:pPr>
        <w:spacing w:before="67" w:line="230" w:lineRule="auto"/>
        <w:ind w:left="125"/>
        <w:rPr>
          <w:rFonts w:hint="eastAsia" w:ascii="仿宋" w:hAnsi="仿宋" w:eastAsia="仿宋" w:cs="仿宋"/>
          <w:spacing w:val="6"/>
          <w:sz w:val="24"/>
          <w:szCs w:val="24"/>
          <w:lang w:eastAsia="zh-CN"/>
        </w:rPr>
      </w:pPr>
      <w:r>
        <w:rPr>
          <w:rFonts w:hint="eastAsia" w:ascii="仿宋" w:hAnsi="仿宋" w:eastAsia="仿宋" w:cs="仿宋"/>
          <w:spacing w:val="6"/>
          <w:sz w:val="24"/>
          <w:szCs w:val="24"/>
          <w:lang w:val="en-US" w:eastAsia="zh-CN"/>
        </w:rPr>
        <w:t>注：1.</w:t>
      </w:r>
      <w:r>
        <w:rPr>
          <w:rFonts w:ascii="仿宋" w:hAnsi="仿宋" w:eastAsia="仿宋" w:cs="仿宋"/>
          <w:spacing w:val="6"/>
          <w:sz w:val="24"/>
          <w:szCs w:val="24"/>
        </w:rPr>
        <w:t>农村宅基地以户均用地面积（平原≤80㎡、丘陵≤120㎡、山区≤150㎡）和建筑高度（≤12米）管控为主，不单独设置容积率、建筑密度</w:t>
      </w:r>
      <w:r>
        <w:rPr>
          <w:rFonts w:hint="eastAsia" w:ascii="仿宋" w:hAnsi="仿宋" w:eastAsia="仿宋" w:cs="仿宋"/>
          <w:spacing w:val="6"/>
          <w:sz w:val="24"/>
          <w:szCs w:val="24"/>
          <w:lang w:val="en-US" w:eastAsia="zh-CN"/>
        </w:rPr>
        <w:t>等</w:t>
      </w:r>
      <w:r>
        <w:rPr>
          <w:rFonts w:ascii="仿宋" w:hAnsi="仿宋" w:eastAsia="仿宋" w:cs="仿宋"/>
          <w:spacing w:val="6"/>
          <w:sz w:val="24"/>
          <w:szCs w:val="24"/>
        </w:rPr>
        <w:t>指标</w:t>
      </w:r>
      <w:r>
        <w:rPr>
          <w:rFonts w:hint="eastAsia" w:ascii="仿宋" w:hAnsi="仿宋" w:eastAsia="仿宋" w:cs="仿宋"/>
          <w:spacing w:val="6"/>
          <w:sz w:val="24"/>
          <w:szCs w:val="24"/>
          <w:lang w:eastAsia="zh-CN"/>
        </w:rPr>
        <w:t>。</w:t>
      </w:r>
    </w:p>
    <w:p w14:paraId="6AAAAB4A">
      <w:pPr>
        <w:spacing w:before="67" w:line="230" w:lineRule="auto"/>
        <w:ind w:left="125"/>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2.农村社区服务设施用地、乡村地区公共管理与公共服务用地仅确定用地属性、用地面积及建筑限高，不单独设置容积率、建筑密度等指标。</w:t>
      </w:r>
    </w:p>
    <w:p w14:paraId="70B26A59">
      <w:pPr>
        <w:spacing w:before="67" w:line="230" w:lineRule="auto"/>
        <w:ind w:left="125"/>
        <w:rPr>
          <w:rFonts w:hint="eastAsia" w:ascii="仿宋" w:hAnsi="仿宋" w:eastAsia="仿宋" w:cs="仿宋"/>
          <w:spacing w:val="6"/>
          <w:sz w:val="24"/>
          <w:szCs w:val="24"/>
          <w:lang w:val="en-US" w:eastAsia="zh-CN"/>
        </w:rPr>
      </w:pPr>
      <w:r>
        <w:rPr>
          <w:rFonts w:hint="eastAsia" w:ascii="仿宋" w:hAnsi="仿宋" w:eastAsia="仿宋" w:cs="仿宋"/>
          <w:spacing w:val="6"/>
          <w:sz w:val="24"/>
          <w:szCs w:val="24"/>
          <w:lang w:val="en-US" w:eastAsia="zh-CN"/>
        </w:rPr>
        <w:t>3.乡村地区区域性公共管理与公共服务用地应经相关主管部门论证后确定用地控制指标。</w:t>
      </w:r>
      <w:bookmarkStart w:id="50" w:name="_GoBack"/>
      <w:bookmarkEnd w:id="50"/>
    </w:p>
    <w:p w14:paraId="2E5C65A5">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0" w:firstLineChars="200"/>
        <w:jc w:val="both"/>
        <w:textAlignment w:val="auto"/>
        <w:outlineLvl w:val="9"/>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br w:type="page"/>
      </w:r>
    </w:p>
    <w:p w14:paraId="373CD5B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p>
    <w:p w14:paraId="61C3EAAE">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723" w:firstLineChars="200"/>
        <w:jc w:val="center"/>
        <w:textAlignment w:val="auto"/>
        <w:outlineLvl w:val="0"/>
        <w:rPr>
          <w:rFonts w:hint="default" w:ascii="Calibri" w:hAnsi="Calibri" w:eastAsia="宋体" w:cs="Times New Roman"/>
          <w:b/>
          <w:kern w:val="2"/>
          <w:sz w:val="36"/>
          <w:szCs w:val="32"/>
          <w:lang w:val="en-US" w:eastAsia="zh-CN" w:bidi="ar-SA"/>
        </w:rPr>
      </w:pPr>
      <w:bookmarkStart w:id="29" w:name="_Toc17519"/>
      <w:r>
        <w:rPr>
          <w:rFonts w:hint="eastAsia" w:ascii="Calibri" w:hAnsi="Calibri" w:eastAsia="宋体" w:cs="Times New Roman"/>
          <w:b/>
          <w:kern w:val="2"/>
          <w:sz w:val="36"/>
          <w:szCs w:val="32"/>
          <w:lang w:val="en-US" w:eastAsia="zh-CN" w:bidi="ar-SA"/>
        </w:rPr>
        <w:t>用地建设管控指引</w:t>
      </w:r>
      <w:bookmarkEnd w:id="29"/>
    </w:p>
    <w:p w14:paraId="20215928">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lang w:val="en-US" w:eastAsia="zh-CN"/>
        </w:rPr>
      </w:pPr>
      <w:bookmarkStart w:id="30" w:name="_Toc25468"/>
      <w:r>
        <w:rPr>
          <w:rFonts w:hint="eastAsia"/>
          <w:lang w:val="en-US" w:eastAsia="zh-CN"/>
        </w:rPr>
        <w:t>建筑退距控制</w:t>
      </w:r>
      <w:bookmarkEnd w:id="30"/>
    </w:p>
    <w:p w14:paraId="0AD61C85">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凡新建、改建、扩建的建设项目，其建筑控制线与用地界线、铁路、公路、河道邻接时，退让距离须满足消防、抗震、防汛、交通安全及水源保护、环境保护、电力保护等规定要求，且须符合本规定。</w:t>
      </w:r>
    </w:p>
    <w:p w14:paraId="5C3B2F29">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建筑后退公路距离应遵守《公路安全保护条例》的相关规定，公路建筑控制区的范围，从公路用地外缘起向外的距离标准为：高速公路不少于30米；国道不少于20米；省道不少于15米；县道不少于10米；乡道不少于5米。</w:t>
      </w:r>
    </w:p>
    <w:p w14:paraId="7CFCC4E0">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default" w:ascii="Times New Roman" w:hAnsi="Times New Roman" w:eastAsia="宋体" w:cs="宋体"/>
          <w:b w:val="0"/>
          <w:bCs w:val="0"/>
          <w:u w:val="none"/>
          <w:lang w:val="en-US" w:eastAsia="zh-CN"/>
        </w:rPr>
        <w:t>建筑后退铁路距离在满足《铁路安全管理条例》要求下，还应当符合以下规定</w:t>
      </w:r>
      <w:r>
        <w:rPr>
          <w:rFonts w:hint="eastAsia" w:ascii="Times New Roman" w:hAnsi="Times New Roman" w:eastAsia="宋体" w:cs="宋体"/>
          <w:b w:val="0"/>
          <w:bCs w:val="0"/>
          <w:u w:val="none"/>
          <w:lang w:val="en-US" w:eastAsia="zh-CN"/>
        </w:rPr>
        <w:t>：</w:t>
      </w:r>
      <w:r>
        <w:rPr>
          <w:rFonts w:hint="default" w:ascii="Times New Roman" w:hAnsi="Times New Roman" w:eastAsia="宋体" w:cs="宋体"/>
          <w:b w:val="0"/>
          <w:bCs w:val="0"/>
          <w:u w:val="none"/>
          <w:lang w:val="en-US" w:eastAsia="zh-CN"/>
        </w:rPr>
        <w:t>高速铁路不少于50米。</w:t>
      </w:r>
    </w:p>
    <w:p w14:paraId="7134B85F">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rPr>
          <w:rFonts w:hint="eastAsia" w:ascii="Times New Roman" w:hAnsi="Times New Roman" w:cs="宋体"/>
          <w:b w:val="0"/>
          <w:bCs w:val="0"/>
          <w:u w:val="none"/>
          <w:lang w:val="en-US" w:eastAsia="zh-CN"/>
        </w:rPr>
      </w:pPr>
      <w:r>
        <w:rPr>
          <w:rFonts w:hint="eastAsia" w:ascii="Times New Roman" w:hAnsi="Times New Roman" w:cs="宋体"/>
          <w:b w:val="0"/>
          <w:bCs w:val="0"/>
          <w:u w:val="none"/>
          <w:lang w:val="en-US" w:eastAsia="zh-CN"/>
        </w:rPr>
        <w:t>表1建（构）筑物后退公路、铁路距离标准</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43"/>
        <w:gridCol w:w="1646"/>
      </w:tblGrid>
      <w:tr w14:paraId="5DB009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jc w:val="center"/>
        </w:trPr>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8F7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公路等级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3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退让距离（m）</w:t>
            </w:r>
          </w:p>
        </w:tc>
      </w:tr>
      <w:tr w14:paraId="06E2E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jc w:val="center"/>
        </w:trPr>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44C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高速公路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73A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69DC4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jc w:val="center"/>
        </w:trPr>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38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644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36DC8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9" w:hRule="atLeast"/>
          <w:jc w:val="center"/>
        </w:trPr>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10D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省道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751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14:paraId="363CE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B97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县道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4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0A926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3D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乡道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3E3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6E93B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254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45E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高速铁路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EB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r>
    </w:tbl>
    <w:p w14:paraId="356CCE18">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p>
    <w:p w14:paraId="5374D0BD">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当建（构）筑物临水系、河涌、排洪（涝）渠、灌溉渠等建设时，建筑退让水系、河、渠的规划蓝线不得小于以下距离：开放水域（连江、青莲水、七拱河、黄坌水、庙公坑河）不少于20米；大河道、大河涌（水系蓝线宽度≥20米）不少于15米；小河道、小河涌（20米＞水系蓝线宽度≥10米）不少于10米；沟、渠（10米＞水系蓝线宽度≥3米）不少于8米；其他小水体（3米＞水系蓝线宽度）不少于5米。</w:t>
      </w:r>
    </w:p>
    <w:p w14:paraId="297873A6">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rPr>
          <w:rFonts w:hint="default" w:ascii="Times New Roman" w:hAnsi="Times New Roman" w:eastAsia="宋体" w:cs="宋体"/>
          <w:b w:val="0"/>
          <w:bCs w:val="0"/>
          <w:u w:val="none"/>
          <w:lang w:val="en-US" w:eastAsia="zh-CN"/>
        </w:rPr>
      </w:pPr>
      <w:r>
        <w:rPr>
          <w:rFonts w:hint="eastAsia" w:ascii="Times New Roman" w:hAnsi="Times New Roman" w:cs="宋体"/>
          <w:b w:val="0"/>
          <w:bCs w:val="0"/>
          <w:u w:val="none"/>
          <w:lang w:val="en-US" w:eastAsia="zh-CN"/>
        </w:rPr>
        <w:t>表2建（构）筑物后退河道、水系蓝线距离标准</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56"/>
        <w:gridCol w:w="5276"/>
        <w:gridCol w:w="1646"/>
      </w:tblGrid>
      <w:tr w14:paraId="3FCAF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3E8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宽度等级</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809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蓝线宽度w（m）</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2C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退让距离（m）</w:t>
            </w:r>
          </w:p>
        </w:tc>
      </w:tr>
      <w:tr w14:paraId="517F3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440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开放水域</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F40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连江、青莲水、七拱河、黄坌水、庙公坑河、水库等</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618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r w14:paraId="52FFA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CB4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大河道、大河涌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986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A19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14:paraId="0B72B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432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小河道、小河涌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F5B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20&gt;w≥10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0BF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76891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E2A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沟、渠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9C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10&gt;w≥3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583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r>
      <w:tr w14:paraId="05D99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1B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其他小水体</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B9C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3&gt;w</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89C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bl>
    <w:p w14:paraId="4918F064">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p>
    <w:p w14:paraId="0C4A89D3">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default" w:ascii="Times New Roman" w:hAnsi="Times New Roman" w:eastAsia="宋体" w:cs="宋体"/>
          <w:b w:val="0"/>
          <w:bCs w:val="0"/>
          <w:u w:val="none"/>
          <w:lang w:val="en-US" w:eastAsia="zh-CN"/>
        </w:rPr>
        <w:t>沿架空电力线路两侧新建、改建、扩建农村建筑，建筑后退路边导线距离除有关规划和电力主管部门另有规定外，一般原则上不得小于以下距离</w:t>
      </w:r>
      <w:r>
        <w:rPr>
          <w:rFonts w:hint="eastAsia" w:ascii="Times New Roman" w:hAnsi="Times New Roman" w:eastAsia="宋体" w:cs="宋体"/>
          <w:b w:val="0"/>
          <w:bCs w:val="0"/>
          <w:u w:val="none"/>
          <w:lang w:val="en-US" w:eastAsia="zh-CN"/>
        </w:rPr>
        <w:t>：</w:t>
      </w:r>
      <w:r>
        <w:rPr>
          <w:rFonts w:hint="default" w:ascii="Times New Roman" w:hAnsi="Times New Roman" w:eastAsia="宋体" w:cs="宋体"/>
          <w:b w:val="0"/>
          <w:bCs w:val="0"/>
          <w:u w:val="none"/>
          <w:lang w:val="en-US" w:eastAsia="zh-CN"/>
        </w:rPr>
        <w:t>110千伏</w:t>
      </w:r>
      <w:r>
        <w:rPr>
          <w:rFonts w:hint="eastAsia" w:ascii="Times New Roman" w:hAnsi="Times New Roman" w:eastAsia="宋体" w:cs="宋体"/>
          <w:b w:val="0"/>
          <w:bCs w:val="0"/>
          <w:u w:val="none"/>
          <w:lang w:val="en-US" w:eastAsia="zh-CN"/>
        </w:rPr>
        <w:t>（含）以下</w:t>
      </w:r>
      <w:r>
        <w:rPr>
          <w:rFonts w:hint="default" w:ascii="Times New Roman" w:hAnsi="Times New Roman" w:eastAsia="宋体" w:cs="宋体"/>
          <w:b w:val="0"/>
          <w:bCs w:val="0"/>
          <w:u w:val="none"/>
          <w:lang w:val="en-US" w:eastAsia="zh-CN"/>
        </w:rPr>
        <w:t>电力线</w:t>
      </w:r>
      <w:r>
        <w:rPr>
          <w:rFonts w:hint="eastAsia" w:ascii="Times New Roman" w:hAnsi="Times New Roman" w:eastAsia="宋体" w:cs="宋体"/>
          <w:b w:val="0"/>
          <w:bCs w:val="0"/>
          <w:u w:val="none"/>
          <w:lang w:val="en-US" w:eastAsia="zh-CN"/>
        </w:rPr>
        <w:t>，</w:t>
      </w:r>
      <w:r>
        <w:rPr>
          <w:rFonts w:hint="default" w:ascii="Times New Roman" w:hAnsi="Times New Roman" w:eastAsia="宋体" w:cs="宋体"/>
          <w:b w:val="0"/>
          <w:bCs w:val="0"/>
          <w:u w:val="none"/>
          <w:lang w:val="en-US" w:eastAsia="zh-CN"/>
        </w:rPr>
        <w:t>不小于10米</w:t>
      </w:r>
      <w:r>
        <w:rPr>
          <w:rFonts w:hint="eastAsia" w:ascii="Times New Roman" w:hAnsi="Times New Roman" w:eastAsia="宋体" w:cs="宋体"/>
          <w:b w:val="0"/>
          <w:bCs w:val="0"/>
          <w:u w:val="none"/>
          <w:lang w:val="en-US" w:eastAsia="zh-CN"/>
        </w:rPr>
        <w:t>；</w:t>
      </w:r>
      <w:r>
        <w:rPr>
          <w:rFonts w:hint="default" w:ascii="Times New Roman" w:hAnsi="Times New Roman" w:eastAsia="宋体" w:cs="宋体"/>
          <w:b w:val="0"/>
          <w:bCs w:val="0"/>
          <w:u w:val="none"/>
          <w:lang w:val="en-US" w:eastAsia="zh-CN"/>
        </w:rPr>
        <w:t>330千伏</w:t>
      </w:r>
      <w:r>
        <w:rPr>
          <w:rFonts w:hint="eastAsia" w:ascii="Times New Roman" w:hAnsi="Times New Roman" w:eastAsia="宋体" w:cs="宋体"/>
          <w:b w:val="0"/>
          <w:bCs w:val="0"/>
          <w:u w:val="none"/>
          <w:lang w:val="en-US" w:eastAsia="zh-CN"/>
        </w:rPr>
        <w:t>（含）以下</w:t>
      </w:r>
      <w:r>
        <w:rPr>
          <w:rFonts w:hint="default" w:ascii="Times New Roman" w:hAnsi="Times New Roman" w:eastAsia="宋体" w:cs="宋体"/>
          <w:b w:val="0"/>
          <w:bCs w:val="0"/>
          <w:u w:val="none"/>
          <w:lang w:val="en-US" w:eastAsia="zh-CN"/>
        </w:rPr>
        <w:t>电力线</w:t>
      </w:r>
      <w:r>
        <w:rPr>
          <w:rFonts w:hint="eastAsia" w:ascii="Times New Roman" w:hAnsi="Times New Roman" w:eastAsia="宋体" w:cs="宋体"/>
          <w:b w:val="0"/>
          <w:bCs w:val="0"/>
          <w:u w:val="none"/>
          <w:lang w:val="en-US" w:eastAsia="zh-CN"/>
        </w:rPr>
        <w:t>，</w:t>
      </w:r>
      <w:r>
        <w:rPr>
          <w:rFonts w:hint="default" w:ascii="Times New Roman" w:hAnsi="Times New Roman" w:eastAsia="宋体" w:cs="宋体"/>
          <w:b w:val="0"/>
          <w:bCs w:val="0"/>
          <w:u w:val="none"/>
          <w:lang w:val="en-US" w:eastAsia="zh-CN"/>
        </w:rPr>
        <w:t>不小于15米</w:t>
      </w:r>
      <w:r>
        <w:rPr>
          <w:rFonts w:hint="eastAsia" w:ascii="Times New Roman" w:hAnsi="Times New Roman" w:eastAsia="宋体" w:cs="宋体"/>
          <w:b w:val="0"/>
          <w:bCs w:val="0"/>
          <w:u w:val="none"/>
          <w:lang w:val="en-US" w:eastAsia="zh-CN"/>
        </w:rPr>
        <w:t>；</w:t>
      </w:r>
      <w:r>
        <w:rPr>
          <w:rFonts w:hint="default" w:ascii="Times New Roman" w:hAnsi="Times New Roman" w:eastAsia="宋体" w:cs="宋体"/>
          <w:b w:val="0"/>
          <w:bCs w:val="0"/>
          <w:u w:val="none"/>
          <w:lang w:val="en-US" w:eastAsia="zh-CN"/>
        </w:rPr>
        <w:t>电力500千伏线，不小于</w:t>
      </w:r>
      <w:r>
        <w:rPr>
          <w:rFonts w:hint="eastAsia" w:ascii="Times New Roman" w:hAnsi="Times New Roman" w:eastAsia="宋体" w:cs="宋体"/>
          <w:b w:val="0"/>
          <w:bCs w:val="0"/>
          <w:u w:val="none"/>
          <w:lang w:val="en-US" w:eastAsia="zh-CN"/>
        </w:rPr>
        <w:t>2</w:t>
      </w:r>
      <w:r>
        <w:rPr>
          <w:rFonts w:hint="default" w:ascii="Times New Roman" w:hAnsi="Times New Roman" w:eastAsia="宋体" w:cs="宋体"/>
          <w:b w:val="0"/>
          <w:bCs w:val="0"/>
          <w:u w:val="none"/>
          <w:lang w:val="en-US" w:eastAsia="zh-CN"/>
        </w:rPr>
        <w:t>0米。</w:t>
      </w:r>
    </w:p>
    <w:p w14:paraId="232F6C0C">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rPr>
          <w:rFonts w:hint="eastAsia" w:ascii="Times New Roman" w:hAnsi="Times New Roman" w:cs="宋体"/>
          <w:b w:val="0"/>
          <w:bCs w:val="0"/>
          <w:u w:val="none"/>
          <w:lang w:val="en-US" w:eastAsia="zh-CN"/>
        </w:rPr>
      </w:pPr>
      <w:r>
        <w:rPr>
          <w:rFonts w:hint="eastAsia" w:ascii="Times New Roman" w:hAnsi="Times New Roman" w:cs="宋体"/>
          <w:b w:val="0"/>
          <w:bCs w:val="0"/>
          <w:u w:val="none"/>
          <w:lang w:val="en-US" w:eastAsia="zh-CN"/>
        </w:rPr>
        <w:t>表3建（构）筑物后退架空电力线路距离标准</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651"/>
        <w:gridCol w:w="1646"/>
      </w:tblGrid>
      <w:tr w14:paraId="2A1D3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6" w:hRule="atLeast"/>
          <w:jc w:val="center"/>
        </w:trPr>
        <w:tc>
          <w:tcPr>
            <w:tcW w:w="1651" w:type="dxa"/>
            <w:shd w:val="clear" w:color="auto" w:fill="auto"/>
            <w:noWrap/>
            <w:vAlign w:val="center"/>
          </w:tcPr>
          <w:p w14:paraId="15A9A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电压等级</w:t>
            </w:r>
          </w:p>
        </w:tc>
        <w:tc>
          <w:tcPr>
            <w:tcW w:w="0" w:type="auto"/>
            <w:shd w:val="clear" w:color="auto" w:fill="auto"/>
            <w:noWrap/>
            <w:vAlign w:val="center"/>
          </w:tcPr>
          <w:p w14:paraId="1B22E7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退让距离（m）</w:t>
            </w:r>
          </w:p>
        </w:tc>
      </w:tr>
      <w:tr w14:paraId="0865C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6" w:hRule="atLeast"/>
          <w:jc w:val="center"/>
        </w:trPr>
        <w:tc>
          <w:tcPr>
            <w:tcW w:w="1651" w:type="dxa"/>
            <w:shd w:val="clear" w:color="auto" w:fill="auto"/>
            <w:noWrap/>
            <w:vAlign w:val="center"/>
          </w:tcPr>
          <w:p w14:paraId="54F83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110千伏</w:t>
            </w:r>
          </w:p>
        </w:tc>
        <w:tc>
          <w:tcPr>
            <w:tcW w:w="0" w:type="auto"/>
            <w:shd w:val="clear" w:color="auto" w:fill="auto"/>
            <w:noWrap/>
            <w:vAlign w:val="center"/>
          </w:tcPr>
          <w:p w14:paraId="50B2B5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718B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6" w:hRule="atLeast"/>
          <w:jc w:val="center"/>
        </w:trPr>
        <w:tc>
          <w:tcPr>
            <w:tcW w:w="1651" w:type="dxa"/>
            <w:shd w:val="clear" w:color="auto" w:fill="auto"/>
            <w:noWrap/>
            <w:vAlign w:val="center"/>
          </w:tcPr>
          <w:p w14:paraId="1DDDA8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330千伏</w:t>
            </w:r>
          </w:p>
        </w:tc>
        <w:tc>
          <w:tcPr>
            <w:tcW w:w="0" w:type="auto"/>
            <w:shd w:val="clear" w:color="auto" w:fill="auto"/>
            <w:noWrap/>
            <w:vAlign w:val="center"/>
          </w:tcPr>
          <w:p w14:paraId="03B767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r>
      <w:tr w14:paraId="7C6C1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8" w:hRule="atLeast"/>
          <w:jc w:val="center"/>
        </w:trPr>
        <w:tc>
          <w:tcPr>
            <w:tcW w:w="1651" w:type="dxa"/>
            <w:shd w:val="clear" w:color="auto" w:fill="auto"/>
            <w:noWrap/>
            <w:vAlign w:val="center"/>
          </w:tcPr>
          <w:p w14:paraId="54135C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500千伏</w:t>
            </w:r>
          </w:p>
        </w:tc>
        <w:tc>
          <w:tcPr>
            <w:tcW w:w="0" w:type="auto"/>
            <w:shd w:val="clear" w:color="auto" w:fill="auto"/>
            <w:noWrap/>
            <w:vAlign w:val="center"/>
          </w:tcPr>
          <w:p w14:paraId="7B6531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r>
    </w:tbl>
    <w:p w14:paraId="76165ADA">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rPr>
          <w:rFonts w:hint="default" w:ascii="Times New Roman" w:hAnsi="Times New Roman" w:cs="宋体"/>
          <w:b w:val="0"/>
          <w:bCs w:val="0"/>
          <w:u w:val="none"/>
          <w:lang w:val="en-US" w:eastAsia="zh-CN"/>
        </w:rPr>
      </w:pPr>
    </w:p>
    <w:p w14:paraId="0F139834">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用地受限时，建筑后退高压架空电力线路边导线距离可适当缩小，但</w:t>
      </w:r>
      <w:r>
        <w:rPr>
          <w:rFonts w:hint="default" w:ascii="Times New Roman" w:hAnsi="Times New Roman" w:eastAsia="宋体" w:cs="宋体"/>
          <w:b w:val="0"/>
          <w:bCs w:val="0"/>
          <w:u w:val="none"/>
          <w:lang w:val="en-US" w:eastAsia="zh-CN"/>
        </w:rPr>
        <w:t>不应小于导线边线在最大计算弧垂及最大计算风偏后的水平距离和风偏后距建筑物的安全距离之和</w:t>
      </w:r>
      <w:r>
        <w:rPr>
          <w:rFonts w:hint="eastAsia" w:ascii="Times New Roman" w:hAnsi="Times New Roman" w:eastAsia="宋体" w:cs="宋体"/>
          <w:b w:val="0"/>
          <w:bCs w:val="0"/>
          <w:u w:val="none"/>
          <w:lang w:val="en-US" w:eastAsia="zh-CN"/>
        </w:rPr>
        <w:t>。</w:t>
      </w:r>
    </w:p>
    <w:p w14:paraId="1A2FD665">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lang w:val="en-US" w:eastAsia="zh-CN"/>
        </w:rPr>
      </w:pPr>
      <w:bookmarkStart w:id="31" w:name="_Toc26584"/>
      <w:r>
        <w:rPr>
          <w:rFonts w:hint="eastAsia"/>
          <w:lang w:val="en-US" w:eastAsia="zh-CN"/>
        </w:rPr>
        <w:t>建筑间距控制</w:t>
      </w:r>
      <w:bookmarkEnd w:id="31"/>
    </w:p>
    <w:p w14:paraId="08073960">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新建、改建、现状扩建农房的建筑间距除必须符合消防、卫生、环保、绿化、安全、工程管线、建筑设计规范和文物古迹保护等法律法规的规定，并符合以下要求：</w:t>
      </w:r>
    </w:p>
    <w:p w14:paraId="429EA5B9">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200" w:right="0" w:rightChars="0"/>
        <w:jc w:val="both"/>
        <w:textAlignment w:val="auto"/>
        <w:rPr>
          <w:rFonts w:hint="eastAsia" w:ascii="Times New Roman" w:hAnsi="Times New Roman" w:eastAsia="宋体" w:cs="宋体"/>
          <w:lang w:val="en-US" w:eastAsia="zh-CN"/>
        </w:rPr>
      </w:pPr>
      <w:r>
        <w:rPr>
          <w:rFonts w:hint="eastAsia" w:ascii="Times New Roman" w:hAnsi="Times New Roman" w:cs="宋体"/>
          <w:lang w:val="en-US" w:eastAsia="zh-CN"/>
        </w:rPr>
        <w:t>（一）</w:t>
      </w:r>
      <w:r>
        <w:rPr>
          <w:rFonts w:hint="eastAsia" w:ascii="Times New Roman" w:hAnsi="Times New Roman" w:eastAsia="宋体" w:cs="宋体"/>
          <w:lang w:val="en-US" w:eastAsia="zh-CN"/>
        </w:rPr>
        <w:t>农房建筑主朝向间距宜不小于4米，相邻建筑山墙间距不少于2米。</w:t>
      </w:r>
    </w:p>
    <w:p w14:paraId="35BBDF47">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firstLine="480" w:firstLineChars="200"/>
        <w:jc w:val="both"/>
        <w:textAlignment w:val="auto"/>
        <w:rPr>
          <w:rFonts w:hint="eastAsia" w:ascii="Times New Roman" w:hAnsi="Times New Roman" w:cs="宋体"/>
          <w:lang w:val="en-US" w:eastAsia="zh-CN"/>
        </w:rPr>
      </w:pPr>
      <w:r>
        <w:rPr>
          <w:rFonts w:hint="eastAsia" w:ascii="Times New Roman" w:hAnsi="Times New Roman" w:cs="宋体"/>
          <w:lang w:val="en-US" w:eastAsia="zh-CN"/>
        </w:rPr>
        <w:t>（二）农房建筑间距应不妨害相邻权，应保证相邻房屋的正常采光和通行要求，并符合《农村防火规范》（GB50039-2010）的规定。农村的厂房、仓库、公共建筑和建筑高度超过15米的居住建筑的建筑间距应执行国家标准《建筑设计防火规范》（GB50016-2014）的相关规定。</w:t>
      </w:r>
    </w:p>
    <w:p w14:paraId="13F704E4">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Chars="0" w:right="0" w:rightChars="0" w:firstLine="480" w:firstLineChars="200"/>
        <w:jc w:val="both"/>
        <w:textAlignment w:val="auto"/>
        <w:rPr>
          <w:rFonts w:hint="eastAsia" w:ascii="Times New Roman" w:hAnsi="Times New Roman" w:eastAsia="宋体" w:cs="宋体"/>
          <w:lang w:val="en-US" w:eastAsia="zh-CN"/>
        </w:rPr>
      </w:pPr>
      <w:r>
        <w:rPr>
          <w:rFonts w:hint="eastAsia" w:ascii="Times New Roman" w:hAnsi="Times New Roman" w:cs="宋体"/>
          <w:sz w:val="24"/>
          <w:szCs w:val="24"/>
          <w:u w:val="none"/>
          <w:lang w:val="en-US" w:eastAsia="zh-CN" w:bidi="zh-CN"/>
        </w:rPr>
        <w:t>（三）农村社区服务、公共管理与公共服务设施、产业项目的建筑间距应根据耐火等级合理设置，与相邻建筑间距不应小于6米。</w:t>
      </w:r>
    </w:p>
    <w:p w14:paraId="6EDFA362">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ascii="Times New Roman" w:hAnsi="Times New Roman" w:eastAsia="宋体" w:cs="宋体"/>
          <w:b w:val="0"/>
          <w:bCs w:val="0"/>
          <w:u w:val="none"/>
          <w:lang w:val="en-US" w:eastAsia="zh-CN"/>
        </w:rPr>
      </w:pPr>
      <w:r>
        <w:rPr>
          <w:rFonts w:hint="default" w:ascii="Times New Roman" w:hAnsi="Times New Roman" w:eastAsia="宋体" w:cs="宋体"/>
          <w:b w:val="0"/>
          <w:bCs w:val="0"/>
          <w:u w:val="none"/>
          <w:lang w:val="en-US" w:eastAsia="zh-CN"/>
        </w:rPr>
        <w:t>同一建筑在建筑间距和建筑退让等多重控制要求的情况下，原则上按最大的控制距离执行。</w:t>
      </w:r>
    </w:p>
    <w:p w14:paraId="0D2E4963">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lang w:val="en-US" w:eastAsia="zh-CN"/>
        </w:rPr>
      </w:pPr>
      <w:bookmarkStart w:id="32" w:name="_Toc2543"/>
      <w:r>
        <w:rPr>
          <w:rFonts w:hint="eastAsia"/>
          <w:lang w:val="en-US" w:eastAsia="zh-CN"/>
        </w:rPr>
        <w:t>建筑风貌控制</w:t>
      </w:r>
      <w:bookmarkEnd w:id="32"/>
    </w:p>
    <w:p w14:paraId="42C330E9">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Times New Roman" w:hAnsi="Times New Roman" w:eastAsia="宋体" w:cs="宋体"/>
          <w:b w:val="0"/>
          <w:bCs w:val="0"/>
          <w:u w:val="none"/>
          <w:lang w:val="en-US" w:eastAsia="zh-CN"/>
        </w:rPr>
      </w:pPr>
      <w:r>
        <w:rPr>
          <w:rFonts w:hint="eastAsia" w:ascii="Times New Roman" w:hAnsi="Times New Roman" w:eastAsia="宋体" w:cs="宋体"/>
          <w:b w:val="0"/>
          <w:bCs w:val="0"/>
          <w:u w:val="none"/>
          <w:lang w:val="en-US" w:eastAsia="zh-CN"/>
        </w:rPr>
        <w:t>新建、改建及扩建建筑的风貌需统筹兼顾与周边农田、果园、山林等田园山水景观的协调性及历史文化保护的双重目标，宜优先采用本土化设计手法，在空间肌理、高度形态、色彩材质、屋顶及立面等要素上延续地方特色，确保与村庄整体风貌和谐统一。位于历史风貌区周边的新建建筑，须通过“退距控制”“高度梯度”等策略，避免遮蔽历史建筑与田园景观之间的视线通廊；传统民居改造可结合农业生产功能（如保留晒谷场、农具存放空间），使其风貌既体现历史底蕴，亦契合乡村田园生活场景，最终实现“历史文脉—乡土记忆—自然景观”的有机统一。</w:t>
      </w:r>
    </w:p>
    <w:p w14:paraId="54AE3528">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lang w:val="en-US" w:eastAsia="zh-CN"/>
        </w:rPr>
      </w:pPr>
      <w:bookmarkStart w:id="33" w:name="_Toc23317"/>
      <w:r>
        <w:rPr>
          <w:rFonts w:hint="eastAsia"/>
          <w:lang w:val="en-US" w:eastAsia="zh-CN"/>
        </w:rPr>
        <w:t>人居环境整治要求</w:t>
      </w:r>
      <w:bookmarkEnd w:id="33"/>
    </w:p>
    <w:p w14:paraId="23568FC1">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人居环境整治应以提升村庄整体环境质量为核心，结合生态保护与乡村特色，持续推进生活垃圾治理、生活污水治理和村容村貌提升。加强农村基础设施建设，完善供水、排水、道路、照明等公共设施，逐步实现村庄环境干净整洁有序。</w:t>
      </w:r>
    </w:p>
    <w:p w14:paraId="547132AE">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一）鼓励各村开展“三清理”（完成村巷道及生产工具、建筑材料乱堆乱放清理，完成房前屋后和村巷道杂草杂物、积存垃圾清理，完成沟渠池塘溪河淤泥、漂浮物和障碍物清理）“四整治”（整治垃圾乱丢乱扔，整治污水治理不到位，整治卫生厕所管护不到位，整治“三线”乱拉乱接）行动，清理各类垃圾、整治乱堆乱放、破旧建筑、污水排放等问题，全面提升农村人居环境质量。</w:t>
      </w:r>
    </w:p>
    <w:p w14:paraId="21251A11">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lang w:val="en-US" w:eastAsia="zh-CN"/>
        </w:rPr>
      </w:pPr>
      <w:r>
        <w:rPr>
          <w:rFonts w:hint="eastAsia"/>
          <w:lang w:val="en-US" w:eastAsia="zh-CN"/>
        </w:rPr>
        <w:t>（二）因地制宜选择生活污水治理模式，保证污水处理设施正常运行，提高污水处理效率，村域内实现“三基本”（基本看不到污水横流；基本闻不到臭味；基本听不到村民怨言）。</w:t>
      </w:r>
    </w:p>
    <w:p w14:paraId="08C4B967">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（三）鼓励建设无害化卫生户厕，提高农村卫生条件和居民生活质量，倡导文明健康的生活方式。新建或改建户厕应结合农村实际，采用节水、节能、环保的技术和设备，确保粪便无害化处理达标后排放。</w:t>
      </w:r>
    </w:p>
    <w:p w14:paraId="7E16353E">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default"/>
          <w:lang w:val="en-US" w:eastAsia="zh-CN"/>
        </w:rPr>
      </w:pPr>
      <w:r>
        <w:rPr>
          <w:rFonts w:hint="eastAsia"/>
          <w:lang w:val="en-US" w:eastAsia="zh-CN"/>
        </w:rPr>
        <w:t>（四）鼓励各村开展农房风貌提升行动，可参考《清远市存量农房外立面改造提升指引（试行）》进行立面整治、屋顶美化、门窗更新等方式，改善农房外观形象，提升村庄整体视觉美感。</w:t>
      </w:r>
    </w:p>
    <w:p w14:paraId="76760984">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五）鼓励开展村庄绿化美化行动，坚持适地适树，兼顾经济效益和景观效益，应绿尽绿、管护良好，在村庄“四旁”（村旁、宅旁、路旁、水旁）“五边”（山边、水边、路边、镇村边、景区边）和公共场所等开展村庄绿化“五个一”（种一片“桑梓林”、打造一处公共休闲绿地、建设一条绿化景观路培育一批庭院绿化样板、建设一片生态景观林。）活动。</w:t>
      </w:r>
    </w:p>
    <w:p w14:paraId="77980648">
      <w:pPr>
        <w:pStyle w:val="7"/>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outlineLvl w:val="9"/>
        <w:rPr>
          <w:rFonts w:hint="eastAsia"/>
          <w:lang w:val="en-US" w:eastAsia="zh-CN"/>
        </w:rPr>
      </w:pPr>
      <w:r>
        <w:rPr>
          <w:rFonts w:hint="eastAsia"/>
          <w:lang w:val="en-US" w:eastAsia="zh-CN"/>
        </w:rPr>
        <w:t>（六）村庄的山体、森林、湿地、水体、植被、农田等自然资源得到保护和修复。古树名木、珍贵植物得到有效保护。</w:t>
      </w:r>
      <w:r>
        <w:rPr>
          <w:rFonts w:hint="eastAsia"/>
          <w:lang w:val="en-US" w:eastAsia="zh-CN"/>
        </w:rPr>
        <w:br w:type="page"/>
      </w:r>
    </w:p>
    <w:p w14:paraId="5FC32CD6">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723" w:firstLineChars="200"/>
        <w:jc w:val="center"/>
        <w:textAlignment w:val="auto"/>
        <w:outlineLvl w:val="0"/>
        <w:rPr>
          <w:rFonts w:hint="default" w:ascii="Calibri" w:hAnsi="Calibri" w:eastAsia="宋体" w:cs="Times New Roman"/>
          <w:b/>
          <w:kern w:val="2"/>
          <w:sz w:val="36"/>
          <w:szCs w:val="32"/>
          <w:lang w:val="en-US" w:eastAsia="zh-CN" w:bidi="ar-SA"/>
        </w:rPr>
      </w:pPr>
      <w:bookmarkStart w:id="34" w:name="_Toc12947"/>
      <w:r>
        <w:rPr>
          <w:rFonts w:hint="eastAsia" w:ascii="Calibri" w:hAnsi="Calibri" w:eastAsia="宋体" w:cs="Times New Roman"/>
          <w:b/>
          <w:kern w:val="2"/>
          <w:sz w:val="36"/>
          <w:szCs w:val="32"/>
          <w:lang w:val="en-US" w:eastAsia="zh-CN" w:bidi="ar-SA"/>
        </w:rPr>
        <w:t>用地兼容管控</w:t>
      </w:r>
      <w:bookmarkEnd w:id="34"/>
    </w:p>
    <w:p w14:paraId="50A7E494">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宋体" w:hAnsi="宋体" w:eastAsia="宋体" w:cs="宋体"/>
          <w:lang w:val="en-US" w:eastAsia="zh-CN"/>
        </w:rPr>
      </w:pPr>
      <w:bookmarkStart w:id="35" w:name="_Toc14263"/>
      <w:r>
        <w:rPr>
          <w:rFonts w:hint="eastAsia" w:ascii="宋体" w:hAnsi="宋体" w:eastAsia="宋体" w:cs="宋体"/>
          <w:lang w:val="en-US" w:eastAsia="zh-CN"/>
        </w:rPr>
        <w:t>总体要求</w:t>
      </w:r>
      <w:bookmarkEnd w:id="35"/>
    </w:p>
    <w:p w14:paraId="65840468">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在满足规划导向、确保主导性质不变，并符合安全、环境等要求及相关标准规范的条件下，对功能用途互惠、环境要求相似或互不产生负面影响的用地，鼓励混合利用。</w:t>
      </w:r>
    </w:p>
    <w:p w14:paraId="406A96B2">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宋体" w:hAnsi="宋体" w:eastAsia="宋体" w:cs="宋体"/>
          <w:lang w:val="en-US" w:eastAsia="zh-CN"/>
        </w:rPr>
      </w:pPr>
      <w:bookmarkStart w:id="36" w:name="_Toc33"/>
      <w:r>
        <w:rPr>
          <w:rFonts w:hint="eastAsia" w:ascii="宋体" w:hAnsi="宋体" w:eastAsia="宋体" w:cs="宋体"/>
          <w:lang w:val="en-US" w:eastAsia="zh-CN"/>
        </w:rPr>
        <w:t>用地兼容</w:t>
      </w:r>
      <w:bookmarkEnd w:id="36"/>
    </w:p>
    <w:p w14:paraId="46B37F7E">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用地兼容性划分为完全兼容、部分兼容与禁止兼容三种类型。其中，“完全兼容”指原规划用地性质可完全转换为其他用地性质；“部分兼容”指在满足原规划主导用地性质的前提下可适度兼容其他用地性质，且兼容功能用地面积原则上不得超过地块总面积的30%；“禁止兼容”指不允许原规划用地性质转换或兼容其他用地性质。</w:t>
      </w:r>
    </w:p>
    <w:p w14:paraId="72219DB1">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涉及公共利益保护、生态环境保护及城乡安全保障的用地，须严格管控其用地规模，确保必要空间不受侵占或变更。</w:t>
      </w:r>
    </w:p>
    <w:p w14:paraId="4D444ACE">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在符合公共利益需求的前提下，允许乡村公共设施项目用地间相互兼容或转换用地性质，并允许乡村产业项目用地兼容或转换为乡村公共设施项目用地。</w:t>
      </w:r>
    </w:p>
    <w:p w14:paraId="4B1AA58F">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建设用地确因主导功能变更需转换用途且符合用地兼容管理要求的，应编制规划图则并按法定程序实施。具体兼容规定详见附件4。</w:t>
      </w:r>
    </w:p>
    <w:p w14:paraId="3AFFB295">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440" w:firstLineChars="200"/>
        <w:textAlignment w:val="auto"/>
        <w:rPr>
          <w:rFonts w:hint="default" w:cs="宋体"/>
          <w:lang w:val="en-US" w:eastAsia="zh-CN"/>
        </w:rPr>
      </w:pPr>
      <w:r>
        <w:rPr>
          <w:rFonts w:hint="default" w:cs="宋体"/>
          <w:lang w:val="en-US" w:eastAsia="zh-CN"/>
        </w:rPr>
        <w:br w:type="page"/>
      </w:r>
    </w:p>
    <w:p w14:paraId="25BAEE4C">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723" w:firstLineChars="200"/>
        <w:jc w:val="center"/>
        <w:textAlignment w:val="auto"/>
        <w:outlineLvl w:val="0"/>
        <w:rPr>
          <w:rFonts w:hint="eastAsia" w:ascii="Calibri" w:hAnsi="Calibri" w:eastAsia="宋体" w:cs="Times New Roman"/>
          <w:b/>
          <w:kern w:val="2"/>
          <w:sz w:val="36"/>
          <w:szCs w:val="32"/>
          <w:lang w:val="en-US" w:eastAsia="zh-CN" w:bidi="ar-SA"/>
        </w:rPr>
      </w:pPr>
      <w:bookmarkStart w:id="37" w:name="_Toc28504"/>
      <w:r>
        <w:rPr>
          <w:rFonts w:hint="eastAsia" w:ascii="Calibri" w:hAnsi="Calibri" w:eastAsia="宋体" w:cs="Times New Roman"/>
          <w:b/>
          <w:kern w:val="2"/>
          <w:sz w:val="36"/>
          <w:szCs w:val="32"/>
          <w:lang w:val="en-US" w:eastAsia="zh-CN" w:bidi="ar-SA"/>
        </w:rPr>
        <w:t>规划图则</w:t>
      </w:r>
      <w:bookmarkEnd w:id="37"/>
    </w:p>
    <w:p w14:paraId="3B84A8F3">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宋体" w:hAnsi="宋体" w:eastAsia="宋体" w:cs="宋体"/>
          <w:lang w:val="en-US" w:eastAsia="zh-CN"/>
        </w:rPr>
      </w:pPr>
      <w:bookmarkStart w:id="38" w:name="_Toc6270"/>
      <w:r>
        <w:rPr>
          <w:rFonts w:hint="eastAsia" w:ascii="宋体" w:hAnsi="宋体" w:eastAsia="宋体" w:cs="宋体"/>
          <w:lang w:val="en-US" w:eastAsia="zh-CN"/>
        </w:rPr>
        <w:t>图则管控要求</w:t>
      </w:r>
      <w:bookmarkEnd w:id="38"/>
    </w:p>
    <w:p w14:paraId="7AB02932">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ascii="宋体" w:hAnsi="宋体" w:eastAsia="宋体" w:cs="宋体"/>
          <w:sz w:val="24"/>
          <w:szCs w:val="24"/>
          <w:lang w:val="en-US" w:eastAsia="zh-CN" w:bidi="zh-CN"/>
        </w:rPr>
      </w:pPr>
      <w:r>
        <w:rPr>
          <w:rFonts w:hint="eastAsia" w:ascii="宋体" w:hAnsi="宋体" w:eastAsia="宋体" w:cs="宋体"/>
          <w:sz w:val="24"/>
          <w:szCs w:val="24"/>
          <w:lang w:val="en-US" w:eastAsia="zh-CN" w:bidi="zh-CN"/>
        </w:rPr>
        <w:t>根据现行法律法规、技术规范和标准、最新政策文件及相关规划要求，乡村建设项目应当单独编制地块图则，并依据此图则办理规划许可。其中，单户或者多户联合建设的农村住房，可不必编制地块图则，按照阳山县农村住房建设相关规定办理规划许可。经法定程序审定的规划图则，需按照规定标准形成矢量数据，纳入国土空间总体规划“一张图”，用作办理建设用地规划许可和用地审批的法定依据。</w:t>
      </w:r>
    </w:p>
    <w:p w14:paraId="19987BC3">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宋体" w:hAnsi="宋体" w:eastAsia="宋体" w:cs="宋体"/>
          <w:lang w:val="en-US" w:eastAsia="zh-CN"/>
        </w:rPr>
      </w:pPr>
      <w:bookmarkStart w:id="39" w:name="_Toc2069"/>
      <w:r>
        <w:rPr>
          <w:rFonts w:hint="eastAsia" w:ascii="宋体" w:hAnsi="宋体" w:eastAsia="宋体" w:cs="宋体"/>
          <w:lang w:val="en-US" w:eastAsia="zh-CN"/>
        </w:rPr>
        <w:t>制图要求</w:t>
      </w:r>
      <w:bookmarkEnd w:id="39"/>
    </w:p>
    <w:p w14:paraId="03BF0836">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规划图则应表达地块位置、用地性质、用地面积、容积率、建筑密度、计容建筑面积、建筑限高、绿地率、建筑退让等控制内容，可包括土地兼容性、设施配套、建筑风貌等控制或建设指引内容，并明确各类管控线，制图版式可参考附件5。</w:t>
      </w:r>
    </w:p>
    <w:p w14:paraId="3081939D">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eastAsia" w:ascii="宋体" w:hAnsi="宋体" w:eastAsia="宋体" w:cs="宋体"/>
          <w:lang w:val="en-US" w:eastAsia="zh-CN"/>
        </w:rPr>
      </w:pPr>
      <w:bookmarkStart w:id="40" w:name="_Toc18919"/>
      <w:r>
        <w:rPr>
          <w:rFonts w:hint="eastAsia" w:ascii="宋体" w:hAnsi="宋体" w:eastAsia="宋体" w:cs="宋体"/>
          <w:lang w:val="en-US" w:eastAsia="zh-CN"/>
        </w:rPr>
        <w:t>程序要求</w:t>
      </w:r>
      <w:bookmarkEnd w:id="40"/>
    </w:p>
    <w:p w14:paraId="4461F805">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color w:val="FF0000"/>
          <w:lang w:val="en-US" w:eastAsia="zh-CN"/>
        </w:rPr>
        <w:t>规划图则由镇人民政府负责组织编制，经村（居）民会议或村（居）民代表大会三分之二以上成员审议通过后，须在村（居）委会所在公示栏、镇人民政府及阳山县人民政府门户网站进行公示，公示期限不少于30个自然日。公示期满无异议的，由阳山县自然资源局负责技术审查与论证，经阳山县人民政府批准后，报阳山县自然资源主管部门备案，方可施行。</w:t>
      </w:r>
    </w:p>
    <w:p w14:paraId="208C3DB1">
      <w:pPr>
        <w:pStyle w:val="6"/>
        <w:keepNext w:val="0"/>
        <w:keepLines w:val="0"/>
        <w:pageBreakBefore w:val="0"/>
        <w:widowControl w:val="0"/>
        <w:kinsoku/>
        <w:wordWrap/>
        <w:overflowPunct/>
        <w:topLinePunct w:val="0"/>
        <w:bidi w:val="0"/>
        <w:adjustRightInd/>
        <w:snapToGrid/>
        <w:spacing w:before="0" w:after="0" w:afterLines="0" w:line="360" w:lineRule="auto"/>
        <w:ind w:left="0" w:leftChars="0" w:right="0" w:rightChars="0" w:firstLine="723" w:firstLineChars="200"/>
        <w:textAlignment w:val="auto"/>
        <w:rPr>
          <w:rFonts w:hint="eastAsia" w:ascii="Calibri" w:hAnsi="Calibri" w:eastAsia="宋体" w:cs="Times New Roman"/>
          <w:b/>
          <w:kern w:val="2"/>
          <w:sz w:val="36"/>
          <w:szCs w:val="32"/>
          <w:lang w:val="en-US" w:eastAsia="zh-CN" w:bidi="ar-SA"/>
        </w:rPr>
      </w:pPr>
    </w:p>
    <w:p w14:paraId="7CE9C827">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723" w:firstLineChars="200"/>
        <w:textAlignment w:val="auto"/>
        <w:rPr>
          <w:rFonts w:hint="eastAsia" w:ascii="Calibri" w:hAnsi="Calibri" w:eastAsia="宋体" w:cs="Times New Roman"/>
          <w:b/>
          <w:kern w:val="2"/>
          <w:sz w:val="36"/>
          <w:szCs w:val="32"/>
          <w:lang w:val="en-US" w:eastAsia="zh-CN" w:bidi="ar-SA"/>
        </w:rPr>
      </w:pPr>
      <w:r>
        <w:rPr>
          <w:rFonts w:hint="eastAsia" w:ascii="Calibri" w:hAnsi="Calibri" w:eastAsia="宋体" w:cs="Times New Roman"/>
          <w:b/>
          <w:kern w:val="2"/>
          <w:sz w:val="36"/>
          <w:szCs w:val="32"/>
          <w:lang w:val="en-US" w:eastAsia="zh-CN" w:bidi="ar-SA"/>
        </w:rPr>
        <w:br w:type="page"/>
      </w:r>
    </w:p>
    <w:p w14:paraId="59F46E4F">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723" w:firstLineChars="200"/>
        <w:jc w:val="center"/>
        <w:textAlignment w:val="auto"/>
        <w:outlineLvl w:val="0"/>
        <w:rPr>
          <w:rFonts w:hint="default" w:ascii="Calibri" w:hAnsi="Calibri" w:eastAsia="宋体" w:cs="Times New Roman"/>
          <w:b/>
          <w:kern w:val="2"/>
          <w:sz w:val="36"/>
          <w:szCs w:val="32"/>
          <w:lang w:val="en-US" w:eastAsia="zh-CN" w:bidi="ar-SA"/>
        </w:rPr>
      </w:pPr>
      <w:bookmarkStart w:id="41" w:name="_Toc7584"/>
      <w:r>
        <w:rPr>
          <w:rFonts w:hint="eastAsia" w:ascii="Calibri" w:hAnsi="Calibri" w:eastAsia="宋体" w:cs="Times New Roman"/>
          <w:b/>
          <w:kern w:val="2"/>
          <w:sz w:val="36"/>
          <w:szCs w:val="32"/>
          <w:lang w:val="en-US" w:eastAsia="zh-CN" w:bidi="ar-SA"/>
        </w:rPr>
        <w:t>实施管理规定</w:t>
      </w:r>
      <w:bookmarkEnd w:id="41"/>
    </w:p>
    <w:p w14:paraId="64A15BE7">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宋体" w:hAnsi="宋体" w:eastAsia="宋体" w:cs="宋体"/>
          <w:lang w:val="en-US" w:eastAsia="zh-CN"/>
        </w:rPr>
      </w:pPr>
      <w:bookmarkStart w:id="42" w:name="_Toc13849"/>
      <w:r>
        <w:rPr>
          <w:rFonts w:hint="default" w:ascii="宋体" w:hAnsi="宋体" w:eastAsia="宋体" w:cs="宋体"/>
          <w:lang w:val="en-US" w:eastAsia="zh-CN"/>
        </w:rPr>
        <w:t>加强实施监督</w:t>
      </w:r>
      <w:bookmarkEnd w:id="42"/>
    </w:p>
    <w:p w14:paraId="3C14C073">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（一）</w:t>
      </w:r>
      <w:r>
        <w:rPr>
          <w:rFonts w:hint="default" w:cs="宋体"/>
          <w:lang w:val="en-US" w:eastAsia="zh-CN"/>
        </w:rPr>
        <w:t>规模控制</w:t>
      </w:r>
    </w:p>
    <w:p w14:paraId="0F3794FA">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default" w:cs="宋体"/>
          <w:lang w:val="en-US" w:eastAsia="zh-CN"/>
        </w:rPr>
        <w:t>“通则”实施过程中，应严格管控约束指标，确保规划期末永久基本农田面积、生态保护红线面积不减少，村域内城镇开发边界外村庄建设用地规模不得超过2020年(</w:t>
      </w:r>
      <w:r>
        <w:rPr>
          <w:rFonts w:hint="eastAsia" w:cs="宋体"/>
          <w:lang w:val="en-US" w:eastAsia="zh-CN"/>
        </w:rPr>
        <w:t>“三区三线”</w:t>
      </w:r>
      <w:r>
        <w:rPr>
          <w:rFonts w:hint="default" w:cs="宋体"/>
          <w:lang w:val="en-US" w:eastAsia="zh-CN"/>
        </w:rPr>
        <w:t>划定时</w:t>
      </w:r>
      <w:r>
        <w:rPr>
          <w:rFonts w:hint="eastAsia" w:cs="宋体"/>
          <w:lang w:val="en-US" w:eastAsia="zh-CN"/>
        </w:rPr>
        <w:t>）</w:t>
      </w:r>
      <w:r>
        <w:rPr>
          <w:rFonts w:hint="default" w:cs="宋体"/>
          <w:lang w:val="en-US" w:eastAsia="zh-CN"/>
        </w:rPr>
        <w:t>城镇开发边界外村庄建设用地规模。各镇应配合县自然资源主管部门建立</w:t>
      </w:r>
      <w:r>
        <w:rPr>
          <w:rFonts w:hint="eastAsia" w:cs="宋体"/>
          <w:lang w:val="en-US" w:eastAsia="zh-CN"/>
        </w:rPr>
        <w:t>“</w:t>
      </w:r>
      <w:r>
        <w:rPr>
          <w:rFonts w:hint="default" w:cs="宋体"/>
          <w:lang w:val="en-US" w:eastAsia="zh-CN"/>
        </w:rPr>
        <w:t>通则实施台账</w:t>
      </w:r>
      <w:r>
        <w:rPr>
          <w:rFonts w:hint="eastAsia" w:cs="宋体"/>
          <w:lang w:val="en-US" w:eastAsia="zh-CN"/>
        </w:rPr>
        <w:t>”</w:t>
      </w:r>
      <w:r>
        <w:rPr>
          <w:rFonts w:hint="default" w:cs="宋体"/>
          <w:lang w:val="en-US" w:eastAsia="zh-CN"/>
        </w:rPr>
        <w:t>，实行年度规模管控。</w:t>
      </w:r>
    </w:p>
    <w:p w14:paraId="3F948162">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（二）</w:t>
      </w:r>
      <w:r>
        <w:rPr>
          <w:rFonts w:hint="default" w:cs="宋体"/>
          <w:lang w:val="en-US" w:eastAsia="zh-CN"/>
        </w:rPr>
        <w:t>过程监管</w:t>
      </w:r>
    </w:p>
    <w:p w14:paraId="0859F151">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default" w:cs="宋体"/>
          <w:lang w:val="en-US" w:eastAsia="zh-CN"/>
        </w:rPr>
        <w:t>“通则”实施过程中，县自然资源主管部门和乡镇人民政府</w:t>
      </w:r>
      <w:r>
        <w:rPr>
          <w:rFonts w:hint="eastAsia" w:cs="宋体"/>
          <w:lang w:val="en-US" w:eastAsia="zh-CN"/>
        </w:rPr>
        <w:t>按照</w:t>
      </w:r>
      <w:r>
        <w:rPr>
          <w:rFonts w:hint="default" w:cs="宋体"/>
          <w:lang w:val="en-US" w:eastAsia="zh-CN"/>
        </w:rPr>
        <w:t>“通则”明确的管控要求，严格规范各类乡村用地建设行为</w:t>
      </w:r>
      <w:r>
        <w:rPr>
          <w:rFonts w:hint="eastAsia" w:cs="宋体"/>
          <w:lang w:val="en-US" w:eastAsia="zh-CN"/>
        </w:rPr>
        <w:t>，工作过程中要注重实现全流程、多方式的公众参与，广泛征求当地村民、村委和相关部门的意见</w:t>
      </w:r>
      <w:r>
        <w:rPr>
          <w:rFonts w:hint="default" w:cs="宋体"/>
          <w:lang w:val="en-US" w:eastAsia="zh-CN"/>
        </w:rPr>
        <w:t>。</w:t>
      </w:r>
    </w:p>
    <w:p w14:paraId="5F432E33">
      <w:pPr>
        <w:pStyle w:val="27"/>
        <w:keepNext w:val="0"/>
        <w:keepLines w:val="0"/>
        <w:pageBreakBefore w:val="0"/>
        <w:widowControl w:val="0"/>
        <w:numPr>
          <w:ilvl w:val="0"/>
          <w:numId w:val="2"/>
        </w:numPr>
        <w:kinsoku/>
        <w:wordWrap/>
        <w:overflowPunct/>
        <w:topLinePunct w:val="0"/>
        <w:autoSpaceDE/>
        <w:autoSpaceDN/>
        <w:bidi w:val="0"/>
        <w:adjustRightInd/>
        <w:snapToGrid/>
        <w:spacing w:before="0" w:after="0" w:line="360" w:lineRule="auto"/>
        <w:ind w:left="0" w:leftChars="0" w:right="0" w:rightChars="0" w:firstLine="602" w:firstLineChars="200"/>
        <w:jc w:val="both"/>
        <w:textAlignment w:val="auto"/>
        <w:rPr>
          <w:rFonts w:hint="default" w:ascii="宋体" w:hAnsi="宋体" w:eastAsia="宋体" w:cs="宋体"/>
          <w:lang w:val="en-US" w:eastAsia="zh-CN"/>
        </w:rPr>
      </w:pPr>
      <w:bookmarkStart w:id="43" w:name="_Toc21549"/>
      <w:r>
        <w:rPr>
          <w:rFonts w:hint="default" w:ascii="宋体" w:hAnsi="宋体" w:eastAsia="宋体" w:cs="宋体"/>
          <w:lang w:val="en-US" w:eastAsia="zh-CN"/>
        </w:rPr>
        <w:t>其他事项</w:t>
      </w:r>
      <w:bookmarkEnd w:id="43"/>
    </w:p>
    <w:p w14:paraId="35541DAF">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（一）</w:t>
      </w:r>
      <w:r>
        <w:rPr>
          <w:rFonts w:hint="default" w:cs="宋体"/>
          <w:lang w:val="en-US" w:eastAsia="zh-CN"/>
        </w:rPr>
        <w:t>“通则式”成果不得与法律法规和有关政策冲突。</w:t>
      </w:r>
    </w:p>
    <w:p w14:paraId="48656B6E">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（二）</w:t>
      </w:r>
      <w:r>
        <w:rPr>
          <w:rFonts w:hint="default" w:cs="宋体"/>
          <w:lang w:val="en-US" w:eastAsia="zh-CN"/>
        </w:rPr>
        <w:t>村庄建设符合设施农用地、“不征不转”“只征不转”“只转不征”等有关规定的，依照其规定执行，无需核发规划许可。</w:t>
      </w:r>
    </w:p>
    <w:p w14:paraId="07875A04">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（三）</w:t>
      </w:r>
      <w:r>
        <w:rPr>
          <w:rFonts w:hint="default" w:cs="宋体"/>
          <w:lang w:val="en-US" w:eastAsia="zh-CN"/>
        </w:rPr>
        <w:t>本规定出台后，其适用范围由</w:t>
      </w:r>
      <w:r>
        <w:rPr>
          <w:rFonts w:hint="eastAsia" w:cs="宋体"/>
          <w:lang w:val="en-US" w:eastAsia="zh-CN"/>
        </w:rPr>
        <w:t>阳山</w:t>
      </w:r>
      <w:r>
        <w:rPr>
          <w:rFonts w:hint="default" w:cs="宋体"/>
          <w:lang w:val="en-US" w:eastAsia="zh-CN"/>
        </w:rPr>
        <w:t>县自然资源局会同相关部门根据实际管理情况进行调整。</w:t>
      </w:r>
    </w:p>
    <w:p w14:paraId="2F9F6399">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440" w:firstLineChars="200"/>
        <w:textAlignment w:val="auto"/>
        <w:rPr>
          <w:rFonts w:hint="default"/>
          <w:lang w:val="en-US" w:eastAsia="zh-CN"/>
        </w:rPr>
      </w:pPr>
      <w:r>
        <w:rPr>
          <w:rFonts w:hint="default"/>
          <w:lang w:val="en-US" w:eastAsia="zh-CN"/>
        </w:rPr>
        <w:br w:type="page"/>
      </w:r>
    </w:p>
    <w:p w14:paraId="323C9D98">
      <w:pPr>
        <w:pStyle w:val="6"/>
        <w:keepNext w:val="0"/>
        <w:keepLines w:val="0"/>
        <w:pageBreakBefore w:val="0"/>
        <w:widowControl w:val="0"/>
        <w:kinsoku/>
        <w:wordWrap/>
        <w:overflowPunct/>
        <w:topLinePunct w:val="0"/>
        <w:bidi w:val="0"/>
        <w:adjustRightInd/>
        <w:snapToGrid/>
        <w:spacing w:before="0" w:after="0" w:afterLines="0" w:line="360" w:lineRule="auto"/>
        <w:ind w:left="0" w:leftChars="0" w:right="0" w:rightChars="0" w:firstLine="560" w:firstLineChars="200"/>
        <w:textAlignment w:val="auto"/>
        <w:rPr>
          <w:rFonts w:hint="default"/>
          <w:lang w:val="en-US" w:eastAsia="zh-CN"/>
        </w:rPr>
      </w:pPr>
    </w:p>
    <w:p w14:paraId="60AD95F8">
      <w:pPr>
        <w:keepNext w:val="0"/>
        <w:keepLines w:val="0"/>
        <w:pageBreakBefore w:val="0"/>
        <w:widowControl w:val="0"/>
        <w:numPr>
          <w:ilvl w:val="0"/>
          <w:numId w:val="1"/>
        </w:numPr>
        <w:tabs>
          <w:tab w:val="left" w:pos="1438"/>
        </w:tabs>
        <w:kinsoku/>
        <w:wordWrap/>
        <w:overflowPunct/>
        <w:topLinePunct w:val="0"/>
        <w:bidi w:val="0"/>
        <w:adjustRightInd/>
        <w:snapToGrid/>
        <w:spacing w:before="0" w:after="0" w:line="360" w:lineRule="auto"/>
        <w:ind w:left="0" w:leftChars="0" w:right="0" w:rightChars="0" w:firstLine="723" w:firstLineChars="200"/>
        <w:jc w:val="center"/>
        <w:textAlignment w:val="auto"/>
        <w:outlineLvl w:val="0"/>
        <w:rPr>
          <w:rFonts w:hint="default" w:ascii="Calibri" w:hAnsi="Calibri" w:eastAsia="宋体" w:cs="Times New Roman"/>
          <w:b/>
          <w:kern w:val="2"/>
          <w:sz w:val="36"/>
          <w:szCs w:val="32"/>
          <w:lang w:val="en-US" w:eastAsia="zh-CN" w:bidi="ar-SA"/>
        </w:rPr>
      </w:pPr>
      <w:bookmarkStart w:id="44" w:name="_Toc7208"/>
      <w:r>
        <w:rPr>
          <w:rFonts w:hint="default" w:ascii="Calibri" w:hAnsi="Calibri" w:eastAsia="宋体" w:cs="Times New Roman"/>
          <w:b/>
          <w:kern w:val="2"/>
          <w:sz w:val="36"/>
          <w:szCs w:val="32"/>
          <w:lang w:val="en-US" w:eastAsia="zh-CN" w:bidi="ar-SA"/>
        </w:rPr>
        <w:t>附则</w:t>
      </w:r>
      <w:bookmarkEnd w:id="44"/>
    </w:p>
    <w:p w14:paraId="4B352589">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default" w:cs="宋体"/>
          <w:lang w:val="en-US" w:eastAsia="zh-CN"/>
        </w:rPr>
        <w:t>本规定未明确之处由</w:t>
      </w:r>
      <w:r>
        <w:rPr>
          <w:rFonts w:hint="eastAsia" w:cs="宋体"/>
          <w:lang w:val="en-US" w:eastAsia="zh-CN"/>
        </w:rPr>
        <w:t>阳山</w:t>
      </w:r>
      <w:r>
        <w:rPr>
          <w:rFonts w:hint="default" w:cs="宋体"/>
          <w:lang w:val="en-US" w:eastAsia="zh-CN"/>
        </w:rPr>
        <w:t>县自然资源局负责解释。本规定出台后</w:t>
      </w:r>
      <w:r>
        <w:rPr>
          <w:rFonts w:hint="eastAsia" w:cs="宋体"/>
          <w:lang w:val="en-US" w:eastAsia="zh-CN"/>
        </w:rPr>
        <w:t>，</w:t>
      </w:r>
      <w:r>
        <w:rPr>
          <w:rFonts w:hint="default" w:cs="宋体"/>
          <w:lang w:val="en-US" w:eastAsia="zh-CN"/>
        </w:rPr>
        <w:t>如和我省、</w:t>
      </w:r>
      <w:r>
        <w:rPr>
          <w:rFonts w:hint="eastAsia" w:cs="宋体"/>
          <w:lang w:val="en-US" w:eastAsia="zh-CN"/>
        </w:rPr>
        <w:t>市、</w:t>
      </w:r>
      <w:r>
        <w:rPr>
          <w:rFonts w:hint="default" w:cs="宋体"/>
          <w:lang w:val="en-US" w:eastAsia="zh-CN"/>
        </w:rPr>
        <w:t>县里最新审批权限和管控要求冲突的</w:t>
      </w:r>
      <w:r>
        <w:rPr>
          <w:rFonts w:hint="eastAsia" w:cs="宋体"/>
          <w:lang w:val="en-US" w:eastAsia="zh-CN"/>
        </w:rPr>
        <w:t>，</w:t>
      </w:r>
      <w:r>
        <w:rPr>
          <w:rFonts w:hint="default" w:cs="宋体"/>
          <w:lang w:val="en-US" w:eastAsia="zh-CN"/>
        </w:rPr>
        <w:t>以我省、</w:t>
      </w:r>
      <w:r>
        <w:rPr>
          <w:rFonts w:hint="eastAsia" w:cs="宋体"/>
          <w:lang w:val="en-US" w:eastAsia="zh-CN"/>
        </w:rPr>
        <w:t>市、</w:t>
      </w:r>
      <w:r>
        <w:rPr>
          <w:rFonts w:hint="default" w:cs="宋体"/>
          <w:lang w:val="en-US" w:eastAsia="zh-CN"/>
        </w:rPr>
        <w:t>县的有关规定为准。本规定</w:t>
      </w:r>
      <w:r>
        <w:rPr>
          <w:rFonts w:hint="eastAsia" w:cs="宋体"/>
          <w:lang w:val="en-US" w:eastAsia="zh-CN"/>
        </w:rPr>
        <w:t>自</w:t>
      </w:r>
      <w:r>
        <w:rPr>
          <w:rFonts w:hint="default" w:cs="宋体"/>
          <w:lang w:val="en-US" w:eastAsia="zh-CN"/>
        </w:rPr>
        <w:t>202*年**月**日起施行，有效期至202*年**月**日</w:t>
      </w:r>
    </w:p>
    <w:p w14:paraId="601C369A">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440" w:firstLineChars="200"/>
        <w:textAlignment w:val="auto"/>
        <w:rPr>
          <w:rFonts w:hint="default" w:cs="宋体"/>
          <w:lang w:val="en-US" w:eastAsia="zh-CN"/>
        </w:rPr>
      </w:pPr>
      <w:r>
        <w:rPr>
          <w:rFonts w:hint="default" w:cs="宋体"/>
          <w:lang w:val="en-US" w:eastAsia="zh-CN"/>
        </w:rPr>
        <w:br w:type="page"/>
      </w:r>
    </w:p>
    <w:p w14:paraId="2E7D350F">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outlineLvl w:val="1"/>
        <w:rPr>
          <w:rFonts w:hint="eastAsia" w:cs="宋体"/>
          <w:b/>
          <w:bCs/>
          <w:lang w:val="en-US" w:eastAsia="zh-CN"/>
        </w:rPr>
      </w:pPr>
      <w:bookmarkStart w:id="45" w:name="_Toc5000"/>
      <w:r>
        <w:rPr>
          <w:rFonts w:hint="eastAsia" w:cs="宋体"/>
          <w:b/>
          <w:bCs/>
          <w:lang w:val="en-US" w:eastAsia="zh-CN"/>
        </w:rPr>
        <w:t>附件1：图则管控依据</w:t>
      </w:r>
      <w:bookmarkEnd w:id="45"/>
    </w:p>
    <w:p w14:paraId="14A12793">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一、</w:t>
      </w:r>
      <w:r>
        <w:rPr>
          <w:rFonts w:hint="default" w:cs="宋体"/>
          <w:lang w:val="en-US" w:eastAsia="zh-CN"/>
        </w:rPr>
        <w:t>法律法规</w:t>
      </w:r>
    </w:p>
    <w:p w14:paraId="0AFA9272">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1.</w:t>
      </w:r>
      <w:r>
        <w:rPr>
          <w:rFonts w:hint="default" w:cs="宋体"/>
          <w:lang w:val="en-US" w:eastAsia="zh-CN"/>
        </w:rPr>
        <w:t>《中华人民共和国土地管理法》(2020年修订</w:t>
      </w:r>
      <w:r>
        <w:rPr>
          <w:rFonts w:hint="eastAsia" w:cs="宋体"/>
          <w:lang w:val="en-US" w:eastAsia="zh-CN"/>
        </w:rPr>
        <w:t>）；</w:t>
      </w:r>
    </w:p>
    <w:p w14:paraId="568D0409">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2.</w:t>
      </w:r>
      <w:r>
        <w:rPr>
          <w:rFonts w:hint="default" w:cs="宋体"/>
          <w:lang w:val="en-US" w:eastAsia="zh-CN"/>
        </w:rPr>
        <w:t>《中华人民共和国城乡规划法》(2019年修正</w:t>
      </w:r>
      <w:r>
        <w:rPr>
          <w:rFonts w:hint="eastAsia" w:cs="宋体"/>
          <w:lang w:val="en-US" w:eastAsia="zh-CN"/>
        </w:rPr>
        <w:t>）；</w:t>
      </w:r>
    </w:p>
    <w:p w14:paraId="62418C8F">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default" w:cs="宋体"/>
          <w:lang w:val="en-US" w:eastAsia="zh-CN"/>
        </w:rPr>
        <w:t>3.《中华人民共和国土地管理法实施条例》</w:t>
      </w:r>
      <w:r>
        <w:rPr>
          <w:rFonts w:hint="eastAsia" w:cs="宋体"/>
          <w:lang w:val="en-US" w:eastAsia="zh-CN"/>
        </w:rPr>
        <w:t>；</w:t>
      </w:r>
    </w:p>
    <w:p w14:paraId="48A46A29">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4.《中华人民共和国基本农田保护条例》。</w:t>
      </w:r>
    </w:p>
    <w:p w14:paraId="504CC001">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二、</w:t>
      </w:r>
      <w:r>
        <w:rPr>
          <w:rFonts w:hint="default" w:cs="宋体"/>
          <w:lang w:val="en-US" w:eastAsia="zh-CN"/>
        </w:rPr>
        <w:t>政策文件</w:t>
      </w:r>
    </w:p>
    <w:p w14:paraId="7264CFEF">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1.</w:t>
      </w:r>
      <w:r>
        <w:rPr>
          <w:rFonts w:hint="eastAsia" w:cs="宋体"/>
          <w:spacing w:val="-10"/>
          <w:sz w:val="24"/>
          <w:szCs w:val="24"/>
          <w:lang w:val="en-US" w:eastAsia="zh-CN" w:bidi="zh-CN"/>
        </w:rPr>
        <w:t>《中共中央国务院关于进一步深化农村改革扎实推进乡村全面振兴的意见》</w:t>
      </w:r>
      <w:r>
        <w:rPr>
          <w:rFonts w:hint="default" w:cs="宋体"/>
          <w:lang w:val="en-US" w:eastAsia="zh-CN"/>
        </w:rPr>
        <w:t>(202</w:t>
      </w:r>
      <w:r>
        <w:rPr>
          <w:rFonts w:hint="eastAsia" w:cs="宋体"/>
          <w:lang w:val="en-US" w:eastAsia="zh-CN"/>
        </w:rPr>
        <w:t>5</w:t>
      </w:r>
      <w:r>
        <w:rPr>
          <w:rFonts w:hint="default" w:cs="宋体"/>
          <w:lang w:val="en-US" w:eastAsia="zh-CN"/>
        </w:rPr>
        <w:t>年中央一号文件</w:t>
      </w:r>
      <w:r>
        <w:rPr>
          <w:rFonts w:hint="eastAsia" w:cs="宋体"/>
          <w:lang w:val="en-US" w:eastAsia="zh-CN"/>
        </w:rPr>
        <w:t>）；</w:t>
      </w:r>
    </w:p>
    <w:p w14:paraId="0207C983">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2.</w:t>
      </w:r>
      <w:r>
        <w:rPr>
          <w:rFonts w:hint="default" w:cs="宋体"/>
          <w:lang w:val="en-US" w:eastAsia="zh-CN"/>
        </w:rPr>
        <w:t>《中共中央国务院关于学习运用</w:t>
      </w:r>
      <w:r>
        <w:rPr>
          <w:rFonts w:hint="eastAsia" w:cs="宋体"/>
          <w:lang w:val="en-US" w:eastAsia="zh-CN"/>
        </w:rPr>
        <w:t>“</w:t>
      </w:r>
      <w:r>
        <w:rPr>
          <w:rFonts w:hint="default" w:cs="宋体"/>
          <w:lang w:val="en-US" w:eastAsia="zh-CN"/>
        </w:rPr>
        <w:t>千村示范、万村整治</w:t>
      </w:r>
      <w:r>
        <w:rPr>
          <w:rFonts w:hint="eastAsia" w:cs="宋体"/>
          <w:lang w:val="en-US" w:eastAsia="zh-CN"/>
        </w:rPr>
        <w:t>”</w:t>
      </w:r>
      <w:r>
        <w:rPr>
          <w:rFonts w:hint="default" w:cs="宋体"/>
          <w:lang w:val="en-US" w:eastAsia="zh-CN"/>
        </w:rPr>
        <w:t>工程经验有力有效推进乡村全面振兴的意见》(2024年中央一号文件</w:t>
      </w:r>
      <w:r>
        <w:rPr>
          <w:rFonts w:hint="eastAsia" w:cs="宋体"/>
          <w:lang w:val="en-US" w:eastAsia="zh-CN"/>
        </w:rPr>
        <w:t>）；</w:t>
      </w:r>
    </w:p>
    <w:p w14:paraId="6907DE88">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3.</w:t>
      </w:r>
      <w:r>
        <w:rPr>
          <w:rFonts w:hint="default" w:cs="宋体"/>
          <w:lang w:val="en-US" w:eastAsia="zh-CN"/>
        </w:rPr>
        <w:t>《中共中央国务院关于建立国土空间规划体系并监督实施的若干意见》(中发(2019</w:t>
      </w:r>
      <w:r>
        <w:rPr>
          <w:rFonts w:hint="eastAsia" w:cs="宋体"/>
          <w:lang w:val="en-US" w:eastAsia="zh-CN"/>
        </w:rPr>
        <w:t>）</w:t>
      </w:r>
      <w:r>
        <w:rPr>
          <w:rFonts w:hint="default" w:cs="宋体"/>
          <w:lang w:val="en-US" w:eastAsia="zh-CN"/>
        </w:rPr>
        <w:t>18号</w:t>
      </w:r>
      <w:r>
        <w:rPr>
          <w:rFonts w:hint="eastAsia" w:cs="宋体"/>
          <w:lang w:val="en-US" w:eastAsia="zh-CN"/>
        </w:rPr>
        <w:t>）；</w:t>
      </w:r>
    </w:p>
    <w:p w14:paraId="623D7FA1">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4.</w:t>
      </w:r>
      <w:r>
        <w:rPr>
          <w:rFonts w:hint="default" w:cs="宋体"/>
          <w:lang w:val="en-US" w:eastAsia="zh-CN"/>
        </w:rPr>
        <w:t>《自然资源部办公厅关于加强村庄规划促进乡村振兴的通知》(自然资办发</w:t>
      </w:r>
      <w:r>
        <w:rPr>
          <w:rFonts w:hint="eastAsia" w:cs="宋体"/>
          <w:lang w:val="en-US" w:eastAsia="zh-CN"/>
        </w:rPr>
        <w:t>〔</w:t>
      </w:r>
      <w:r>
        <w:rPr>
          <w:rFonts w:hint="default" w:cs="宋体"/>
          <w:lang w:val="en-US" w:eastAsia="zh-CN"/>
        </w:rPr>
        <w:t>2019</w:t>
      </w:r>
      <w:r>
        <w:rPr>
          <w:rFonts w:hint="eastAsia" w:cs="宋体"/>
          <w:lang w:val="en-US" w:eastAsia="zh-CN"/>
        </w:rPr>
        <w:t>〕</w:t>
      </w:r>
      <w:r>
        <w:rPr>
          <w:rFonts w:hint="default" w:cs="宋体"/>
          <w:lang w:val="en-US" w:eastAsia="zh-CN"/>
        </w:rPr>
        <w:t>35号</w:t>
      </w:r>
      <w:r>
        <w:rPr>
          <w:rFonts w:hint="eastAsia" w:cs="宋体"/>
          <w:lang w:val="en-US" w:eastAsia="zh-CN"/>
        </w:rPr>
        <w:t>）；</w:t>
      </w:r>
    </w:p>
    <w:p w14:paraId="4FC68DB8">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5.</w:t>
      </w:r>
      <w:r>
        <w:rPr>
          <w:rFonts w:hint="default" w:cs="宋体"/>
          <w:lang w:val="en-US" w:eastAsia="zh-CN"/>
        </w:rPr>
        <w:t>《国土空间调查、规划、用途管制用地用海分类指南</w:t>
      </w:r>
      <w:r>
        <w:rPr>
          <w:rFonts w:hint="eastAsia" w:cs="宋体"/>
          <w:lang w:val="en-US" w:eastAsia="zh-CN"/>
        </w:rPr>
        <w:t>（</w:t>
      </w:r>
      <w:r>
        <w:rPr>
          <w:rFonts w:hint="default" w:cs="宋体"/>
          <w:lang w:val="en-US" w:eastAsia="zh-CN"/>
        </w:rPr>
        <w:t>试行</w:t>
      </w:r>
      <w:r>
        <w:rPr>
          <w:rFonts w:hint="eastAsia" w:cs="宋体"/>
          <w:lang w:val="en-US" w:eastAsia="zh-CN"/>
        </w:rPr>
        <w:t>）</w:t>
      </w:r>
      <w:r>
        <w:rPr>
          <w:rFonts w:hint="default" w:cs="宋体"/>
          <w:lang w:val="en-US" w:eastAsia="zh-CN"/>
        </w:rPr>
        <w:t>》(自然资办发</w:t>
      </w:r>
      <w:r>
        <w:rPr>
          <w:rFonts w:hint="eastAsia" w:cs="宋体"/>
          <w:lang w:val="en-US" w:eastAsia="zh-CN"/>
        </w:rPr>
        <w:t>〔</w:t>
      </w:r>
      <w:r>
        <w:rPr>
          <w:rFonts w:hint="default" w:cs="宋体"/>
          <w:lang w:val="en-US" w:eastAsia="zh-CN"/>
        </w:rPr>
        <w:t>2020</w:t>
      </w:r>
      <w:r>
        <w:rPr>
          <w:rFonts w:hint="eastAsia" w:cs="宋体"/>
          <w:lang w:val="en-US" w:eastAsia="zh-CN"/>
        </w:rPr>
        <w:t>〕</w:t>
      </w:r>
      <w:r>
        <w:rPr>
          <w:rFonts w:hint="default" w:cs="宋体"/>
          <w:lang w:val="en-US" w:eastAsia="zh-CN"/>
        </w:rPr>
        <w:t>51号</w:t>
      </w:r>
      <w:r>
        <w:rPr>
          <w:rFonts w:hint="eastAsia" w:cs="宋体"/>
          <w:lang w:val="en-US" w:eastAsia="zh-CN"/>
        </w:rPr>
        <w:t>）；</w:t>
      </w:r>
    </w:p>
    <w:p w14:paraId="1EA232A4">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6.《自然资源部生态环境部国家林业和草原局关于加强生态保护红线管理的通知(试行）》</w:t>
      </w:r>
    </w:p>
    <w:p w14:paraId="353A0CE9">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7</w:t>
      </w:r>
      <w:r>
        <w:rPr>
          <w:rFonts w:hint="default" w:cs="宋体"/>
          <w:lang w:val="en-US" w:eastAsia="zh-CN"/>
        </w:rPr>
        <w:t>.《自然资源部办公厅关于</w:t>
      </w:r>
      <w:r>
        <w:rPr>
          <w:rFonts w:hint="eastAsia" w:cs="宋体"/>
          <w:lang w:val="en-US" w:eastAsia="zh-CN"/>
        </w:rPr>
        <w:t>印发〈</w:t>
      </w:r>
      <w:r>
        <w:rPr>
          <w:rFonts w:hint="default" w:cs="宋体"/>
          <w:lang w:val="en-US" w:eastAsia="zh-CN"/>
        </w:rPr>
        <w:t>乡村振兴用地政策指南(2023年</w:t>
      </w:r>
      <w:r>
        <w:rPr>
          <w:rFonts w:hint="eastAsia" w:cs="宋体"/>
          <w:lang w:val="en-US" w:eastAsia="zh-CN"/>
        </w:rPr>
        <w:t>）〉</w:t>
      </w:r>
      <w:r>
        <w:rPr>
          <w:rFonts w:hint="default" w:cs="宋体"/>
          <w:lang w:val="en-US" w:eastAsia="zh-CN"/>
        </w:rPr>
        <w:t>的通知</w:t>
      </w:r>
      <w:r>
        <w:rPr>
          <w:rFonts w:hint="eastAsia" w:cs="宋体"/>
          <w:lang w:val="en-US" w:eastAsia="zh-CN"/>
        </w:rPr>
        <w:t>》</w:t>
      </w:r>
      <w:r>
        <w:rPr>
          <w:rFonts w:hint="default" w:cs="宋体"/>
          <w:lang w:val="en-US" w:eastAsia="zh-CN"/>
        </w:rPr>
        <w:t>(自然资办发</w:t>
      </w:r>
      <w:r>
        <w:rPr>
          <w:rFonts w:hint="eastAsia" w:cs="宋体"/>
          <w:lang w:val="en-US" w:eastAsia="zh-CN"/>
        </w:rPr>
        <w:t>〔</w:t>
      </w:r>
      <w:r>
        <w:rPr>
          <w:rFonts w:hint="default" w:cs="宋体"/>
          <w:lang w:val="en-US" w:eastAsia="zh-CN"/>
        </w:rPr>
        <w:t>2023</w:t>
      </w:r>
      <w:r>
        <w:rPr>
          <w:rFonts w:hint="eastAsia" w:cs="宋体"/>
          <w:lang w:val="en-US" w:eastAsia="zh-CN"/>
        </w:rPr>
        <w:t>〕</w:t>
      </w:r>
      <w:r>
        <w:rPr>
          <w:rFonts w:hint="default" w:cs="宋体"/>
          <w:lang w:val="en-US" w:eastAsia="zh-CN"/>
        </w:rPr>
        <w:t>48号</w:t>
      </w:r>
      <w:r>
        <w:rPr>
          <w:rFonts w:hint="eastAsia" w:cs="宋体"/>
          <w:lang w:val="en-US" w:eastAsia="zh-CN"/>
        </w:rPr>
        <w:t>）；</w:t>
      </w:r>
    </w:p>
    <w:p w14:paraId="4B1A4921">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8.</w:t>
      </w:r>
      <w:r>
        <w:rPr>
          <w:rFonts w:hint="default" w:cs="宋体"/>
          <w:lang w:val="en-US" w:eastAsia="zh-CN"/>
        </w:rPr>
        <w:t>《自然资源部关于深化规划用地“多审合一、多证合一”改革的通知》(自然资发</w:t>
      </w:r>
      <w:r>
        <w:rPr>
          <w:rFonts w:hint="eastAsia" w:cs="宋体"/>
          <w:lang w:val="en-US" w:eastAsia="zh-CN"/>
        </w:rPr>
        <w:t>〔</w:t>
      </w:r>
      <w:r>
        <w:rPr>
          <w:rFonts w:hint="default" w:cs="宋体"/>
          <w:lang w:val="en-US" w:eastAsia="zh-CN"/>
        </w:rPr>
        <w:t>2023</w:t>
      </w:r>
      <w:r>
        <w:rPr>
          <w:rFonts w:hint="eastAsia" w:cs="宋体"/>
          <w:lang w:val="en-US" w:eastAsia="zh-CN"/>
        </w:rPr>
        <w:t>〕</w:t>
      </w:r>
      <w:r>
        <w:rPr>
          <w:rFonts w:hint="default" w:cs="宋体"/>
          <w:lang w:val="en-US" w:eastAsia="zh-CN"/>
        </w:rPr>
        <w:t>69号</w:t>
      </w:r>
      <w:r>
        <w:rPr>
          <w:rFonts w:hint="eastAsia" w:cs="宋体"/>
          <w:lang w:val="en-US" w:eastAsia="zh-CN"/>
        </w:rPr>
        <w:t>）；</w:t>
      </w:r>
    </w:p>
    <w:p w14:paraId="052B3A90">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9</w:t>
      </w:r>
      <w:r>
        <w:rPr>
          <w:rFonts w:hint="default" w:cs="宋体"/>
          <w:lang w:val="en-US" w:eastAsia="zh-CN"/>
        </w:rPr>
        <w:t>.《自然资源部中央农村工作领导小组办公室关于学习运用“千万工程”经验提高村庄规划编制质量和实效的通知》(自然资发</w:t>
      </w:r>
      <w:r>
        <w:rPr>
          <w:rFonts w:hint="eastAsia" w:cs="宋体"/>
          <w:lang w:val="en-US" w:eastAsia="zh-CN"/>
        </w:rPr>
        <w:t>〔</w:t>
      </w:r>
      <w:r>
        <w:rPr>
          <w:rFonts w:hint="default" w:cs="宋体"/>
          <w:lang w:val="en-US" w:eastAsia="zh-CN"/>
        </w:rPr>
        <w:t>2024</w:t>
      </w:r>
      <w:r>
        <w:rPr>
          <w:rFonts w:hint="eastAsia" w:cs="宋体"/>
          <w:lang w:val="en-US" w:eastAsia="zh-CN"/>
        </w:rPr>
        <w:t>〕</w:t>
      </w:r>
      <w:r>
        <w:rPr>
          <w:rFonts w:hint="default" w:cs="宋体"/>
          <w:lang w:val="en-US" w:eastAsia="zh-CN"/>
        </w:rPr>
        <w:t>1号</w:t>
      </w:r>
      <w:r>
        <w:rPr>
          <w:rFonts w:hint="eastAsia" w:cs="宋体"/>
          <w:lang w:val="en-US" w:eastAsia="zh-CN"/>
        </w:rPr>
        <w:t>）；</w:t>
      </w:r>
    </w:p>
    <w:p w14:paraId="37FC078E">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10.</w:t>
      </w:r>
      <w:r>
        <w:rPr>
          <w:rFonts w:hint="default" w:cs="宋体"/>
          <w:lang w:val="en-US" w:eastAsia="zh-CN"/>
        </w:rPr>
        <w:t>《广东省自然资源厅广东省农业农村厅关于印发</w:t>
      </w:r>
      <w:r>
        <w:rPr>
          <w:rFonts w:hint="eastAsia" w:cs="宋体"/>
          <w:lang w:val="en-US" w:eastAsia="zh-CN"/>
        </w:rPr>
        <w:t>〈</w:t>
      </w:r>
      <w:r>
        <w:rPr>
          <w:rFonts w:hint="default" w:cs="宋体"/>
          <w:lang w:val="en-US" w:eastAsia="zh-CN"/>
        </w:rPr>
        <w:t>广东省村庄规划全面优化提升三年行动计划</w:t>
      </w:r>
      <w:r>
        <w:rPr>
          <w:rFonts w:hint="eastAsia" w:cs="宋体"/>
          <w:lang w:val="en-US" w:eastAsia="zh-CN"/>
        </w:rPr>
        <w:t>〉的通知》</w:t>
      </w:r>
      <w:r>
        <w:rPr>
          <w:rFonts w:hint="default" w:cs="宋体"/>
          <w:lang w:val="en-US" w:eastAsia="zh-CN"/>
        </w:rPr>
        <w:t>(粤自然资函(2021</w:t>
      </w:r>
      <w:r>
        <w:rPr>
          <w:rFonts w:hint="eastAsia" w:cs="宋体"/>
          <w:lang w:val="en-US" w:eastAsia="zh-CN"/>
        </w:rPr>
        <w:t>〕</w:t>
      </w:r>
      <w:r>
        <w:rPr>
          <w:rFonts w:hint="default" w:cs="宋体"/>
          <w:lang w:val="en-US" w:eastAsia="zh-CN"/>
        </w:rPr>
        <w:t>436号</w:t>
      </w:r>
      <w:r>
        <w:rPr>
          <w:rFonts w:hint="eastAsia" w:cs="宋体"/>
          <w:lang w:val="en-US" w:eastAsia="zh-CN"/>
        </w:rPr>
        <w:t>）；</w:t>
      </w:r>
    </w:p>
    <w:p w14:paraId="21BC275A">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11</w:t>
      </w:r>
      <w:r>
        <w:rPr>
          <w:rFonts w:hint="default" w:cs="宋体"/>
          <w:lang w:val="en-US" w:eastAsia="zh-CN"/>
        </w:rPr>
        <w:t>.《广东省自然资源厅关于印发</w:t>
      </w:r>
      <w:r>
        <w:rPr>
          <w:rFonts w:hint="eastAsia" w:cs="宋体"/>
          <w:lang w:val="en-US" w:eastAsia="zh-CN"/>
        </w:rPr>
        <w:t>〈</w:t>
      </w:r>
      <w:r>
        <w:rPr>
          <w:rFonts w:hint="default" w:cs="宋体"/>
          <w:lang w:val="en-US" w:eastAsia="zh-CN"/>
        </w:rPr>
        <w:t>市县镇级国土空间总体规划编制相关技术文件</w:t>
      </w:r>
      <w:r>
        <w:rPr>
          <w:rFonts w:hint="eastAsia" w:cs="宋体"/>
          <w:lang w:val="en-US" w:eastAsia="zh-CN"/>
        </w:rPr>
        <w:t>〉的通知》</w:t>
      </w:r>
      <w:r>
        <w:rPr>
          <w:rFonts w:hint="default" w:cs="宋体"/>
          <w:lang w:val="en-US" w:eastAsia="zh-CN"/>
        </w:rPr>
        <w:t>(粤自然资规划(2022</w:t>
      </w:r>
      <w:r>
        <w:rPr>
          <w:rFonts w:hint="eastAsia" w:cs="宋体"/>
          <w:lang w:val="en-US" w:eastAsia="zh-CN"/>
        </w:rPr>
        <w:t>）</w:t>
      </w:r>
      <w:r>
        <w:rPr>
          <w:rFonts w:hint="default" w:cs="宋体"/>
          <w:lang w:val="en-US" w:eastAsia="zh-CN"/>
        </w:rPr>
        <w:t>1196号</w:t>
      </w:r>
      <w:r>
        <w:rPr>
          <w:rFonts w:hint="eastAsia" w:cs="宋体"/>
          <w:lang w:val="en-US" w:eastAsia="zh-CN"/>
        </w:rPr>
        <w:t>）；</w:t>
      </w:r>
    </w:p>
    <w:p w14:paraId="78E36F31">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12.《</w:t>
      </w:r>
      <w:r>
        <w:rPr>
          <w:rFonts w:hint="default" w:cs="宋体"/>
          <w:lang w:val="en-US" w:eastAsia="zh-CN"/>
        </w:rPr>
        <w:t>自然资源部农业农村部关于农村乱占耕地建房“八不准”的通知</w:t>
      </w:r>
      <w:r>
        <w:rPr>
          <w:rFonts w:hint="eastAsia" w:cs="宋体"/>
          <w:lang w:val="en-US" w:eastAsia="zh-CN"/>
        </w:rPr>
        <w:t>》</w:t>
      </w:r>
      <w:r>
        <w:rPr>
          <w:rFonts w:hint="default" w:cs="宋体"/>
          <w:lang w:val="en-US" w:eastAsia="zh-CN"/>
        </w:rPr>
        <w:t>自然资发〔2020〕127号</w:t>
      </w:r>
      <w:r>
        <w:rPr>
          <w:rFonts w:hint="eastAsia" w:cs="宋体"/>
          <w:lang w:val="en-US" w:eastAsia="zh-CN"/>
        </w:rPr>
        <w:t>；</w:t>
      </w:r>
    </w:p>
    <w:p w14:paraId="2814B808">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13.</w:t>
      </w:r>
      <w:r>
        <w:rPr>
          <w:rFonts w:hint="default" w:cs="宋体"/>
          <w:lang w:val="en-US" w:eastAsia="zh-CN"/>
        </w:rPr>
        <w:t>《广东省自然资源厅广东省发展和改革委员会广东省农业农村厅广东省林业局关于保障农村一二三产业融合发展用地促进乡村振兴的指导意见》（粤自然资规字〔2022〕1号）</w:t>
      </w:r>
      <w:r>
        <w:rPr>
          <w:rFonts w:hint="eastAsia" w:cs="宋体"/>
          <w:lang w:val="en-US" w:eastAsia="zh-CN"/>
        </w:rPr>
        <w:t>。</w:t>
      </w:r>
    </w:p>
    <w:p w14:paraId="0574F67B">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三、</w:t>
      </w:r>
      <w:r>
        <w:rPr>
          <w:rFonts w:hint="default" w:cs="宋体"/>
          <w:lang w:val="en-US" w:eastAsia="zh-CN"/>
        </w:rPr>
        <w:t>相关规划</w:t>
      </w:r>
    </w:p>
    <w:p w14:paraId="3F54C1DA">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default" w:cs="宋体"/>
          <w:lang w:val="en-US" w:eastAsia="zh-CN"/>
        </w:rPr>
        <w:t>《</w:t>
      </w:r>
      <w:r>
        <w:rPr>
          <w:rFonts w:hint="eastAsia" w:cs="宋体"/>
          <w:lang w:val="en-US" w:eastAsia="zh-CN"/>
        </w:rPr>
        <w:t>阳山县</w:t>
      </w:r>
      <w:r>
        <w:rPr>
          <w:rFonts w:hint="default" w:cs="宋体"/>
          <w:lang w:val="en-US" w:eastAsia="zh-CN"/>
        </w:rPr>
        <w:t>国土空间总体规划(2021</w:t>
      </w:r>
      <w:r>
        <w:rPr>
          <w:rFonts w:hint="eastAsia" w:cs="宋体"/>
          <w:lang w:val="en-US" w:eastAsia="zh-CN"/>
        </w:rPr>
        <w:t>—</w:t>
      </w:r>
      <w:r>
        <w:rPr>
          <w:rFonts w:hint="default" w:cs="宋体"/>
          <w:lang w:val="en-US" w:eastAsia="zh-CN"/>
        </w:rPr>
        <w:t>2035年</w:t>
      </w:r>
      <w:r>
        <w:rPr>
          <w:rFonts w:hint="eastAsia" w:cs="宋体"/>
          <w:lang w:val="en-US" w:eastAsia="zh-CN"/>
        </w:rPr>
        <w:t>）</w:t>
      </w:r>
      <w:r>
        <w:rPr>
          <w:rFonts w:hint="default" w:cs="宋体"/>
          <w:lang w:val="en-US" w:eastAsia="zh-CN"/>
        </w:rPr>
        <w:t>》</w:t>
      </w:r>
      <w:r>
        <w:rPr>
          <w:rFonts w:hint="eastAsia" w:cs="宋体"/>
          <w:lang w:val="en-US" w:eastAsia="zh-CN"/>
        </w:rPr>
        <w:t>。</w:t>
      </w:r>
    </w:p>
    <w:p w14:paraId="241586F5">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四、相关规范</w:t>
      </w:r>
    </w:p>
    <w:p w14:paraId="57632CBF">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1.《清远市国土空间规划管理技术规定及计算规则》；</w:t>
      </w:r>
    </w:p>
    <w:p w14:paraId="1B4DA57C">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2.</w:t>
      </w:r>
      <w:r>
        <w:rPr>
          <w:rFonts w:hint="default" w:cs="宋体"/>
          <w:lang w:val="en-US" w:eastAsia="zh-CN"/>
        </w:rPr>
        <w:t>《社区生活圈规划技术指南》</w:t>
      </w:r>
      <w:r>
        <w:rPr>
          <w:rFonts w:hint="eastAsia" w:cs="宋体"/>
          <w:lang w:val="en-US" w:eastAsia="zh-CN"/>
        </w:rPr>
        <w:t>；</w:t>
      </w:r>
    </w:p>
    <w:p w14:paraId="4B8A70A4">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3.</w:t>
      </w:r>
      <w:r>
        <w:rPr>
          <w:rFonts w:hint="default" w:cs="宋体"/>
          <w:lang w:val="en-US" w:eastAsia="zh-CN"/>
        </w:rPr>
        <w:t>《产业结构调整指导目录（2024</w:t>
      </w:r>
      <w:r>
        <w:rPr>
          <w:rFonts w:hint="eastAsia" w:cs="宋体"/>
          <w:lang w:val="en-US" w:eastAsia="zh-CN"/>
        </w:rPr>
        <w:t>年本）》；</w:t>
      </w:r>
    </w:p>
    <w:p w14:paraId="7DC26F14">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4.《自然资源要素支撑产业高质量发展指导目录（</w:t>
      </w:r>
      <w:r>
        <w:rPr>
          <w:rFonts w:hint="default" w:cs="宋体"/>
          <w:lang w:val="en-US" w:eastAsia="zh-CN"/>
        </w:rPr>
        <w:t>2024</w:t>
      </w:r>
      <w:r>
        <w:rPr>
          <w:rFonts w:hint="eastAsia" w:cs="宋体"/>
          <w:lang w:val="en-US" w:eastAsia="zh-CN"/>
        </w:rPr>
        <w:t>年本）》；</w:t>
      </w:r>
    </w:p>
    <w:p w14:paraId="37BD6C43">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5.《农村防火规范》（GB50039-2010）；</w:t>
      </w:r>
    </w:p>
    <w:p w14:paraId="0097ABB5">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6.《建筑设计防火规范》（GB50016-2014）；</w:t>
      </w:r>
    </w:p>
    <w:p w14:paraId="148678B6">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eastAsia" w:cs="宋体"/>
          <w:lang w:val="en-US" w:eastAsia="zh-CN"/>
        </w:rPr>
      </w:pPr>
      <w:r>
        <w:rPr>
          <w:rFonts w:hint="eastAsia" w:cs="宋体"/>
          <w:lang w:val="en-US" w:eastAsia="zh-CN"/>
        </w:rPr>
        <w:t>7.《公路安全保护条例》；</w:t>
      </w:r>
    </w:p>
    <w:p w14:paraId="386BC597">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8.</w:t>
      </w:r>
      <w:r>
        <w:rPr>
          <w:rFonts w:hint="default" w:cs="宋体"/>
          <w:lang w:val="en-US" w:eastAsia="zh-CN"/>
        </w:rPr>
        <w:t>《铁路安全管理条例》</w:t>
      </w:r>
      <w:r>
        <w:rPr>
          <w:rFonts w:hint="eastAsia" w:cs="宋体"/>
          <w:lang w:val="en-US" w:eastAsia="zh-CN"/>
        </w:rPr>
        <w:t>；</w:t>
      </w:r>
    </w:p>
    <w:p w14:paraId="3A1774BC">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both"/>
        <w:textAlignment w:val="auto"/>
        <w:rPr>
          <w:rFonts w:hint="default" w:cs="宋体"/>
          <w:lang w:val="en-US" w:eastAsia="zh-CN"/>
        </w:rPr>
      </w:pPr>
      <w:r>
        <w:rPr>
          <w:rFonts w:hint="eastAsia" w:cs="宋体"/>
          <w:lang w:val="en-US" w:eastAsia="zh-CN"/>
        </w:rPr>
        <w:t>9.《</w:t>
      </w:r>
      <w:r>
        <w:rPr>
          <w:rFonts w:hint="default" w:cs="宋体"/>
          <w:lang w:val="en-US" w:eastAsia="zh-CN"/>
        </w:rPr>
        <w:t>电力设施保护条例</w:t>
      </w:r>
      <w:r>
        <w:rPr>
          <w:rFonts w:hint="eastAsia" w:cs="宋体"/>
          <w:lang w:val="en-US" w:eastAsia="zh-CN"/>
        </w:rPr>
        <w:t>》。</w:t>
      </w:r>
    </w:p>
    <w:p w14:paraId="72CCDDC9">
      <w:pPr>
        <w:keepNext w:val="0"/>
        <w:keepLines w:val="0"/>
        <w:pageBreakBefore w:val="0"/>
        <w:widowControl w:val="0"/>
        <w:kinsoku/>
        <w:wordWrap/>
        <w:overflowPunct/>
        <w:topLinePunct w:val="0"/>
        <w:bidi w:val="0"/>
        <w:adjustRightInd/>
        <w:snapToGrid/>
        <w:spacing w:before="0" w:after="0" w:line="360" w:lineRule="auto"/>
        <w:ind w:left="0" w:leftChars="0" w:right="0" w:rightChars="0" w:firstLine="440" w:firstLineChars="200"/>
        <w:textAlignment w:val="auto"/>
        <w:rPr>
          <w:rFonts w:hint="default" w:cs="宋体"/>
          <w:color w:val="FF0000"/>
          <w:lang w:val="en-US" w:eastAsia="zh-CN"/>
        </w:rPr>
      </w:pPr>
      <w:r>
        <w:rPr>
          <w:rFonts w:hint="default" w:cs="宋体"/>
          <w:color w:val="FF0000"/>
          <w:lang w:val="en-US" w:eastAsia="zh-CN"/>
        </w:rPr>
        <w:br w:type="page"/>
      </w:r>
    </w:p>
    <w:p w14:paraId="3E78AAD1">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outlineLvl w:val="1"/>
        <w:rPr>
          <w:rFonts w:hint="eastAsia" w:cs="宋体"/>
          <w:b/>
          <w:bCs/>
          <w:lang w:val="en-US" w:eastAsia="zh-CN"/>
        </w:rPr>
      </w:pPr>
      <w:bookmarkStart w:id="46" w:name="_Toc23970"/>
      <w:r>
        <w:rPr>
          <w:rFonts w:hint="eastAsia" w:cs="宋体"/>
          <w:b/>
          <w:bCs/>
          <w:lang w:val="en-US" w:eastAsia="zh-CN"/>
        </w:rPr>
        <w:t>附件2：永久基本农田、生态保护红线保护指标分解表</w:t>
      </w:r>
      <w:bookmarkEnd w:id="46"/>
    </w:p>
    <w:tbl>
      <w:tblPr>
        <w:tblStyle w:val="16"/>
        <w:tblW w:w="28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2072"/>
        <w:gridCol w:w="2072"/>
      </w:tblGrid>
      <w:tr w14:paraId="0EB0B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4C02F39B">
            <w:pPr>
              <w:widowControl/>
              <w:ind w:firstLine="0" w:firstLineChars="0"/>
              <w:jc w:val="center"/>
              <w:rPr>
                <w:rFonts w:ascii="Times New Roman" w:hAnsi="Times New Roman" w:eastAsia="仿宋"/>
                <w:b/>
                <w:kern w:val="0"/>
                <w:sz w:val="24"/>
                <w:lang w:val="en-US"/>
              </w:rPr>
            </w:pPr>
            <w:r>
              <w:rPr>
                <w:rFonts w:ascii="Times New Roman" w:hAnsi="Times New Roman" w:eastAsia="仿宋"/>
                <w:b/>
                <w:kern w:val="0"/>
                <w:sz w:val="24"/>
                <w:lang w:val="en-US"/>
              </w:rPr>
              <w:t>行政区</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5B41AAFB">
            <w:pPr>
              <w:widowControl/>
              <w:ind w:firstLine="0" w:firstLineChars="0"/>
              <w:jc w:val="center"/>
              <w:rPr>
                <w:rFonts w:ascii="Times New Roman" w:hAnsi="Times New Roman" w:eastAsia="仿宋"/>
                <w:b/>
                <w:kern w:val="0"/>
                <w:sz w:val="24"/>
                <w:lang w:val="en-US"/>
              </w:rPr>
            </w:pPr>
            <w:r>
              <w:rPr>
                <w:rFonts w:ascii="Times New Roman" w:hAnsi="Times New Roman" w:eastAsia="仿宋"/>
                <w:b/>
                <w:kern w:val="0"/>
                <w:sz w:val="24"/>
                <w:lang w:val="en-US"/>
              </w:rPr>
              <w:t>永久基本农田保护面积</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4FE4B9DB">
            <w:pPr>
              <w:widowControl/>
              <w:spacing w:line="240" w:lineRule="atLeast"/>
              <w:ind w:left="0" w:leftChars="0" w:right="0" w:rightChars="0" w:firstLine="0" w:firstLineChars="0"/>
              <w:jc w:val="center"/>
              <w:rPr>
                <w:rFonts w:ascii="Times New Roman" w:hAnsi="Times New Roman" w:eastAsia="仿宋"/>
                <w:b/>
                <w:kern w:val="0"/>
                <w:sz w:val="24"/>
                <w:lang w:val="en-US"/>
              </w:rPr>
            </w:pPr>
            <w:r>
              <w:rPr>
                <w:rFonts w:ascii="Times New Roman" w:hAnsi="Times New Roman"/>
                <w:b/>
                <w:kern w:val="0"/>
                <w:sz w:val="22"/>
                <w:szCs w:val="22"/>
                <w:lang w:val="en-US"/>
              </w:rPr>
              <w:t>生态保护红线面积</w:t>
            </w:r>
          </w:p>
        </w:tc>
      </w:tr>
      <w:tr w14:paraId="42D7E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3FDFD3EF">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阳城镇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49625278">
            <w:pPr>
              <w:widowControl/>
              <w:ind w:firstLine="0" w:firstLineChars="0"/>
              <w:jc w:val="center"/>
              <w:rPr>
                <w:rFonts w:hint="eastAsia" w:ascii="Times New Roman" w:hAnsi="Times New Roman" w:eastAsia="宋体"/>
                <w:sz w:val="24"/>
                <w:lang w:eastAsia="zh-CN"/>
              </w:rPr>
            </w:pPr>
            <w:r>
              <w:rPr>
                <w:rFonts w:ascii="Times New Roman" w:hAnsi="Times New Roman"/>
                <w:sz w:val="24"/>
              </w:rPr>
              <w:t>2020.47</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58F1F172">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88.74</w:t>
            </w:r>
          </w:p>
        </w:tc>
      </w:tr>
      <w:tr w14:paraId="504DE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03A94987">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七拱镇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14D42F8E">
            <w:pPr>
              <w:widowControl/>
              <w:ind w:firstLine="0" w:firstLineChars="0"/>
              <w:jc w:val="center"/>
              <w:rPr>
                <w:rFonts w:hint="eastAsia" w:ascii="Times New Roman" w:hAnsi="Times New Roman" w:eastAsia="宋体"/>
                <w:sz w:val="24"/>
                <w:lang w:eastAsia="zh-CN"/>
              </w:rPr>
            </w:pPr>
            <w:r>
              <w:rPr>
                <w:rFonts w:ascii="Times New Roman" w:hAnsi="Times New Roman"/>
                <w:sz w:val="24"/>
              </w:rPr>
              <w:t>4172.53</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1D1C19F9">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3.66</w:t>
            </w:r>
          </w:p>
        </w:tc>
      </w:tr>
      <w:tr w14:paraId="1B87F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101F84DB">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黎埠镇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049B6E82">
            <w:pPr>
              <w:widowControl/>
              <w:ind w:firstLine="0" w:firstLineChars="0"/>
              <w:jc w:val="center"/>
              <w:rPr>
                <w:rFonts w:hint="eastAsia" w:ascii="Times New Roman" w:hAnsi="Times New Roman" w:eastAsia="宋体"/>
                <w:sz w:val="24"/>
                <w:lang w:eastAsia="zh-CN"/>
              </w:rPr>
            </w:pPr>
            <w:r>
              <w:rPr>
                <w:rFonts w:ascii="Times New Roman" w:hAnsi="Times New Roman"/>
                <w:sz w:val="24"/>
              </w:rPr>
              <w:t>1025.19</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665AC8B9">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13.45</w:t>
            </w:r>
          </w:p>
        </w:tc>
      </w:tr>
      <w:tr w14:paraId="5C0E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0A3C35FE">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岭背镇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74ECE59E">
            <w:pPr>
              <w:widowControl/>
              <w:ind w:firstLine="0" w:firstLineChars="0"/>
              <w:jc w:val="center"/>
              <w:rPr>
                <w:rFonts w:hint="eastAsia" w:ascii="Times New Roman" w:hAnsi="Times New Roman" w:eastAsia="宋体"/>
                <w:sz w:val="24"/>
                <w:lang w:eastAsia="zh-CN"/>
              </w:rPr>
            </w:pPr>
            <w:r>
              <w:rPr>
                <w:rFonts w:ascii="Times New Roman" w:hAnsi="Times New Roman"/>
                <w:sz w:val="24"/>
              </w:rPr>
              <w:t>2552.67</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27A15B1C">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21.44</w:t>
            </w:r>
          </w:p>
        </w:tc>
      </w:tr>
      <w:tr w14:paraId="3992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4837BCDB">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青莲镇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421CDC50">
            <w:pPr>
              <w:widowControl/>
              <w:ind w:firstLine="0" w:firstLineChars="0"/>
              <w:jc w:val="center"/>
              <w:rPr>
                <w:rFonts w:hint="eastAsia" w:ascii="Times New Roman" w:hAnsi="Times New Roman" w:eastAsia="宋体"/>
                <w:sz w:val="24"/>
                <w:lang w:eastAsia="zh-CN"/>
              </w:rPr>
            </w:pPr>
            <w:r>
              <w:rPr>
                <w:rFonts w:ascii="Times New Roman" w:hAnsi="Times New Roman"/>
                <w:sz w:val="24"/>
              </w:rPr>
              <w:t>1905.04</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650D0D24">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44.57</w:t>
            </w:r>
          </w:p>
        </w:tc>
      </w:tr>
      <w:tr w14:paraId="4610C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3BA47971">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小江镇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3415F3F4">
            <w:pPr>
              <w:widowControl/>
              <w:ind w:firstLine="0" w:firstLineChars="0"/>
              <w:jc w:val="center"/>
              <w:rPr>
                <w:rFonts w:hint="eastAsia" w:ascii="Times New Roman" w:hAnsi="Times New Roman" w:eastAsia="宋体"/>
                <w:sz w:val="24"/>
                <w:lang w:eastAsia="zh-CN"/>
              </w:rPr>
            </w:pPr>
            <w:r>
              <w:rPr>
                <w:rFonts w:ascii="Times New Roman" w:hAnsi="Times New Roman"/>
                <w:sz w:val="24"/>
              </w:rPr>
              <w:t>255.99</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137E72CB">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20.68</w:t>
            </w:r>
          </w:p>
        </w:tc>
      </w:tr>
      <w:tr w14:paraId="5BA5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1CAF605D">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杜步镇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3971FCA7">
            <w:pPr>
              <w:widowControl/>
              <w:ind w:firstLine="0" w:firstLineChars="0"/>
              <w:jc w:val="center"/>
              <w:rPr>
                <w:rFonts w:hint="eastAsia" w:ascii="Times New Roman" w:hAnsi="Times New Roman" w:eastAsia="宋体"/>
                <w:sz w:val="24"/>
                <w:lang w:eastAsia="zh-CN"/>
              </w:rPr>
            </w:pPr>
            <w:r>
              <w:rPr>
                <w:rFonts w:ascii="Times New Roman" w:hAnsi="Times New Roman"/>
                <w:sz w:val="24"/>
              </w:rPr>
              <w:t>1186.73</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0D01C610">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50.17</w:t>
            </w:r>
          </w:p>
        </w:tc>
      </w:tr>
      <w:tr w14:paraId="111B6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5B697AE7">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太平镇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1A0DD213">
            <w:pPr>
              <w:widowControl/>
              <w:ind w:firstLine="0" w:firstLineChars="0"/>
              <w:jc w:val="center"/>
              <w:rPr>
                <w:rFonts w:hint="eastAsia" w:ascii="Times New Roman" w:hAnsi="Times New Roman" w:eastAsia="宋体"/>
                <w:sz w:val="24"/>
                <w:lang w:eastAsia="zh-CN"/>
              </w:rPr>
            </w:pPr>
            <w:r>
              <w:rPr>
                <w:rFonts w:ascii="Times New Roman" w:hAnsi="Times New Roman"/>
                <w:sz w:val="24"/>
              </w:rPr>
              <w:t>3252.88</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4E77C3EF">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40.27</w:t>
            </w:r>
          </w:p>
        </w:tc>
      </w:tr>
      <w:tr w14:paraId="05A3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5A88CC94">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杨梅镇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1FB09946">
            <w:pPr>
              <w:widowControl/>
              <w:ind w:firstLine="0" w:firstLineChars="0"/>
              <w:jc w:val="center"/>
              <w:rPr>
                <w:rFonts w:hint="eastAsia" w:ascii="Times New Roman" w:hAnsi="Times New Roman" w:eastAsia="宋体"/>
                <w:sz w:val="24"/>
                <w:lang w:eastAsia="zh-CN"/>
              </w:rPr>
            </w:pPr>
            <w:r>
              <w:rPr>
                <w:rFonts w:ascii="Times New Roman" w:hAnsi="Times New Roman"/>
                <w:sz w:val="24"/>
              </w:rPr>
              <w:t>2374.36</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16C456A4">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43.94</w:t>
            </w:r>
          </w:p>
        </w:tc>
      </w:tr>
      <w:tr w14:paraId="03626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00B0C71A">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大崀镇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086F155D">
            <w:pPr>
              <w:widowControl/>
              <w:ind w:firstLine="0" w:firstLineChars="0"/>
              <w:jc w:val="center"/>
              <w:rPr>
                <w:rFonts w:hint="eastAsia" w:ascii="Times New Roman" w:hAnsi="Times New Roman" w:eastAsia="宋体"/>
                <w:sz w:val="24"/>
                <w:lang w:eastAsia="zh-CN"/>
              </w:rPr>
            </w:pPr>
            <w:r>
              <w:rPr>
                <w:rFonts w:ascii="Times New Roman" w:hAnsi="Times New Roman"/>
                <w:sz w:val="24"/>
              </w:rPr>
              <w:t>709.89</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45820330">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0.80</w:t>
            </w:r>
          </w:p>
        </w:tc>
      </w:tr>
      <w:tr w14:paraId="3CB4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4DDA06A0">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黄坌镇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3EA30E45">
            <w:pPr>
              <w:widowControl/>
              <w:ind w:firstLine="0" w:firstLineChars="0"/>
              <w:jc w:val="center"/>
              <w:rPr>
                <w:rFonts w:hint="eastAsia" w:ascii="Times New Roman" w:hAnsi="Times New Roman" w:eastAsia="宋体"/>
                <w:sz w:val="24"/>
                <w:lang w:eastAsia="zh-CN"/>
              </w:rPr>
            </w:pPr>
            <w:r>
              <w:rPr>
                <w:rFonts w:ascii="Times New Roman" w:hAnsi="Times New Roman"/>
                <w:sz w:val="24"/>
              </w:rPr>
              <w:t>3090.67</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1E66ED4A">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18.06</w:t>
            </w:r>
          </w:p>
        </w:tc>
      </w:tr>
      <w:tr w14:paraId="6889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3A869606">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江英镇</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2D678B3D">
            <w:pPr>
              <w:widowControl/>
              <w:ind w:firstLine="0" w:firstLineChars="0"/>
              <w:jc w:val="center"/>
              <w:rPr>
                <w:rFonts w:hint="eastAsia" w:ascii="Times New Roman" w:hAnsi="Times New Roman" w:eastAsia="宋体"/>
                <w:sz w:val="24"/>
                <w:lang w:eastAsia="zh-CN"/>
              </w:rPr>
            </w:pPr>
            <w:r>
              <w:rPr>
                <w:rFonts w:ascii="Times New Roman" w:hAnsi="Times New Roman"/>
                <w:sz w:val="24"/>
              </w:rPr>
              <w:t>2110.02</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7DC5148D">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94.50</w:t>
            </w:r>
          </w:p>
        </w:tc>
      </w:tr>
      <w:tr w14:paraId="62D0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5FC1F1FC">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秤架乡</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1E7F2659">
            <w:pPr>
              <w:widowControl/>
              <w:ind w:firstLine="0" w:firstLineChars="0"/>
              <w:jc w:val="center"/>
              <w:rPr>
                <w:rFonts w:hint="eastAsia" w:ascii="Times New Roman" w:hAnsi="Times New Roman" w:eastAsia="宋体"/>
                <w:sz w:val="24"/>
                <w:lang w:eastAsia="zh-CN"/>
              </w:rPr>
            </w:pPr>
            <w:r>
              <w:rPr>
                <w:rFonts w:ascii="Times New Roman" w:hAnsi="Times New Roman"/>
                <w:sz w:val="24"/>
              </w:rPr>
              <w:t>1109.06</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301092EE">
            <w:pPr>
              <w:widowControl/>
              <w:ind w:left="0" w:leftChars="0" w:right="0" w:rightChars="0" w:firstLine="0" w:firstLineChars="0"/>
              <w:jc w:val="center"/>
              <w:rPr>
                <w:rFonts w:ascii="Times New Roman" w:hAnsi="Times New Roman"/>
                <w:sz w:val="24"/>
              </w:rPr>
            </w:pPr>
            <w:r>
              <w:rPr>
                <w:rFonts w:ascii="Times New Roman" w:hAnsi="Times New Roman"/>
                <w:sz w:val="21"/>
                <w:szCs w:val="21"/>
                <w:lang w:val="en-US"/>
              </w:rPr>
              <w:t>461.27</w:t>
            </w:r>
          </w:p>
        </w:tc>
      </w:tr>
      <w:tr w14:paraId="56C2E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96" w:type="pct"/>
            <w:tcBorders>
              <w:top w:val="single" w:color="auto" w:sz="4" w:space="0"/>
              <w:left w:val="single" w:color="auto" w:sz="4" w:space="0"/>
              <w:bottom w:val="single" w:color="auto" w:sz="4" w:space="0"/>
              <w:right w:val="single" w:color="auto" w:sz="4" w:space="0"/>
              <w:tl2br w:val="nil"/>
              <w:tr2bl w:val="nil"/>
            </w:tcBorders>
            <w:vAlign w:val="center"/>
          </w:tcPr>
          <w:p w14:paraId="5B4E9744">
            <w:pPr>
              <w:widowControl/>
              <w:ind w:firstLine="0" w:firstLineChars="0"/>
              <w:jc w:val="center"/>
              <w:rPr>
                <w:rFonts w:ascii="Times New Roman" w:hAnsi="Times New Roman" w:eastAsia="仿宋"/>
                <w:kern w:val="0"/>
                <w:sz w:val="24"/>
                <w:lang w:val="en-US"/>
              </w:rPr>
            </w:pPr>
            <w:r>
              <w:rPr>
                <w:rFonts w:ascii="Times New Roman" w:hAnsi="Times New Roman" w:eastAsia="仿宋"/>
                <w:kern w:val="0"/>
                <w:sz w:val="24"/>
                <w:lang w:val="en-US"/>
              </w:rPr>
              <w:t>合计</w:t>
            </w:r>
          </w:p>
        </w:tc>
        <w:tc>
          <w:tcPr>
            <w:tcW w:w="1951" w:type="pct"/>
            <w:tcBorders>
              <w:top w:val="single" w:color="auto" w:sz="4" w:space="0"/>
              <w:left w:val="single" w:color="auto" w:sz="4" w:space="0"/>
              <w:bottom w:val="single" w:color="auto" w:sz="4" w:space="0"/>
              <w:right w:val="single" w:color="auto" w:sz="4" w:space="0"/>
              <w:tl2br w:val="nil"/>
              <w:tr2bl w:val="nil"/>
            </w:tcBorders>
          </w:tcPr>
          <w:p w14:paraId="0AA9D225">
            <w:pPr>
              <w:widowControl/>
              <w:ind w:firstLine="0" w:firstLineChars="0"/>
              <w:jc w:val="center"/>
              <w:rPr>
                <w:rFonts w:hint="eastAsia" w:ascii="Times New Roman" w:hAnsi="Times New Roman" w:eastAsia="宋体"/>
                <w:sz w:val="24"/>
                <w:lang w:eastAsia="zh-CN"/>
              </w:rPr>
            </w:pPr>
            <w:r>
              <w:rPr>
                <w:rFonts w:ascii="Times New Roman" w:hAnsi="Times New Roman"/>
                <w:sz w:val="24"/>
              </w:rPr>
              <w:t>25765.49</w:t>
            </w:r>
          </w:p>
        </w:tc>
        <w:tc>
          <w:tcPr>
            <w:tcW w:w="1951" w:type="pct"/>
            <w:tcBorders>
              <w:top w:val="single" w:color="auto" w:sz="4" w:space="0"/>
              <w:left w:val="single" w:color="auto" w:sz="4" w:space="0"/>
              <w:bottom w:val="single" w:color="auto" w:sz="4" w:space="0"/>
              <w:right w:val="single" w:color="auto" w:sz="4" w:space="0"/>
              <w:tl2br w:val="nil"/>
              <w:tr2bl w:val="nil"/>
            </w:tcBorders>
            <w:vAlign w:val="center"/>
          </w:tcPr>
          <w:p w14:paraId="6A2991CF">
            <w:pPr>
              <w:widowControl/>
              <w:ind w:left="0" w:leftChars="0" w:right="0" w:rightChars="0" w:firstLine="0" w:firstLineChars="0"/>
              <w:jc w:val="center"/>
              <w:rPr>
                <w:rFonts w:ascii="Times New Roman" w:hAnsi="Times New Roman"/>
                <w:sz w:val="24"/>
              </w:rPr>
            </w:pPr>
            <w:r>
              <w:rPr>
                <w:rFonts w:ascii="Times New Roman" w:hAnsi="Times New Roman"/>
                <w:kern w:val="0"/>
                <w:sz w:val="22"/>
                <w:szCs w:val="22"/>
                <w:lang w:val="en-US"/>
              </w:rPr>
              <w:t>901.53</w:t>
            </w:r>
          </w:p>
        </w:tc>
      </w:tr>
    </w:tbl>
    <w:p w14:paraId="0E038FA7">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rPr>
          <w:rFonts w:hint="default" w:cs="宋体"/>
          <w:b/>
          <w:bCs/>
          <w:lang w:val="en-US" w:eastAsia="zh-CN"/>
        </w:rPr>
      </w:pPr>
    </w:p>
    <w:p w14:paraId="2D885331">
      <w:pPr>
        <w:rPr>
          <w:rFonts w:hint="eastAsia" w:cs="宋体"/>
          <w:b/>
          <w:bCs/>
          <w:lang w:val="en-US" w:eastAsia="zh-CN"/>
        </w:rPr>
      </w:pPr>
      <w:r>
        <w:rPr>
          <w:rFonts w:hint="eastAsia" w:cs="宋体"/>
          <w:b/>
          <w:bCs/>
          <w:lang w:val="en-US" w:eastAsia="zh-CN"/>
        </w:rPr>
        <w:br w:type="page"/>
      </w:r>
    </w:p>
    <w:p w14:paraId="7840503A">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outlineLvl w:val="1"/>
        <w:rPr>
          <w:rFonts w:hint="eastAsia" w:cs="宋体"/>
          <w:b/>
          <w:bCs/>
          <w:lang w:val="en-US" w:eastAsia="zh-CN"/>
        </w:rPr>
      </w:pPr>
      <w:bookmarkStart w:id="47" w:name="_Toc21524"/>
      <w:r>
        <w:rPr>
          <w:rFonts w:hint="eastAsia" w:cs="宋体"/>
          <w:b/>
          <w:bCs/>
          <w:lang w:val="en-US" w:eastAsia="zh-CN"/>
        </w:rPr>
        <w:t>附件3：《社区生活圈规划技术指南》</w:t>
      </w:r>
      <w:bookmarkEnd w:id="47"/>
    </w:p>
    <w:p w14:paraId="33244FA4">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480" w:firstLineChars="200"/>
        <w:jc w:val="center"/>
        <w:textAlignment w:val="auto"/>
        <w:rPr>
          <w:rFonts w:hint="default" w:cs="宋体"/>
          <w:lang w:val="en-US" w:eastAsia="zh-CN"/>
        </w:rPr>
      </w:pPr>
      <w:r>
        <w:rPr>
          <w:rFonts w:hint="eastAsia" w:cs="宋体"/>
          <w:lang w:val="en-US" w:eastAsia="zh-CN"/>
        </w:rPr>
        <w:t>表A.5村/组层级社区生活圈服务要素配置表</w:t>
      </w:r>
    </w:p>
    <w:p w14:paraId="1A989428">
      <w:pPr>
        <w:pStyle w:val="6"/>
        <w:keepNext w:val="0"/>
        <w:keepLines w:val="0"/>
        <w:pageBreakBefore w:val="0"/>
        <w:widowControl w:val="0"/>
        <w:kinsoku/>
        <w:wordWrap/>
        <w:overflowPunct/>
        <w:topLinePunct w:val="0"/>
        <w:autoSpaceDE w:val="0"/>
        <w:autoSpaceDN w:val="0"/>
        <w:bidi w:val="0"/>
        <w:adjustRightInd/>
        <w:snapToGrid/>
        <w:spacing w:before="0" w:after="0" w:afterLines="0" w:line="360" w:lineRule="auto"/>
        <w:ind w:left="0" w:leftChars="0" w:right="0" w:rightChars="0"/>
        <w:jc w:val="center"/>
        <w:textAlignment w:val="auto"/>
      </w:pPr>
      <w:r>
        <w:drawing>
          <wp:inline distT="0" distB="0" distL="114300" distR="114300">
            <wp:extent cx="8108315" cy="5073650"/>
            <wp:effectExtent l="10160" t="9525" r="2159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t="10941" r="1970" b="999"/>
                    <a:stretch>
                      <a:fillRect/>
                    </a:stretch>
                  </pic:blipFill>
                  <pic:spPr>
                    <a:xfrm rot="16200000">
                      <a:off x="0" y="0"/>
                      <a:ext cx="8108315" cy="5073650"/>
                    </a:xfrm>
                    <a:prstGeom prst="rect">
                      <a:avLst/>
                    </a:prstGeom>
                    <a:noFill/>
                    <a:ln>
                      <a:solidFill>
                        <a:schemeClr val="tx1"/>
                      </a:solidFill>
                    </a:ln>
                  </pic:spPr>
                </pic:pic>
              </a:graphicData>
            </a:graphic>
          </wp:inline>
        </w:drawing>
      </w:r>
      <w:r>
        <w:drawing>
          <wp:inline distT="0" distB="0" distL="114300" distR="114300">
            <wp:extent cx="7771130" cy="5285105"/>
            <wp:effectExtent l="0" t="0" r="10795" b="127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1"/>
                    <a:srcRect t="2703" r="3156"/>
                    <a:stretch>
                      <a:fillRect/>
                    </a:stretch>
                  </pic:blipFill>
                  <pic:spPr>
                    <a:xfrm rot="16200000">
                      <a:off x="0" y="0"/>
                      <a:ext cx="7771130" cy="5285105"/>
                    </a:xfrm>
                    <a:prstGeom prst="rect">
                      <a:avLst/>
                    </a:prstGeom>
                    <a:noFill/>
                    <a:ln>
                      <a:noFill/>
                    </a:ln>
                  </pic:spPr>
                </pic:pic>
              </a:graphicData>
            </a:graphic>
          </wp:inline>
        </w:drawing>
      </w:r>
    </w:p>
    <w:p w14:paraId="043929B2">
      <w:pPr>
        <w:pStyle w:val="6"/>
        <w:keepNext w:val="0"/>
        <w:keepLines w:val="0"/>
        <w:pageBreakBefore w:val="0"/>
        <w:widowControl w:val="0"/>
        <w:kinsoku/>
        <w:wordWrap/>
        <w:overflowPunct/>
        <w:topLinePunct w:val="0"/>
        <w:autoSpaceDE w:val="0"/>
        <w:autoSpaceDN w:val="0"/>
        <w:bidi w:val="0"/>
        <w:adjustRightInd/>
        <w:snapToGrid/>
        <w:spacing w:before="0" w:after="0" w:afterLines="0" w:line="360" w:lineRule="auto"/>
        <w:ind w:left="0" w:leftChars="0" w:right="0" w:rightChars="0"/>
        <w:jc w:val="center"/>
        <w:textAlignment w:val="auto"/>
      </w:pPr>
      <w:r>
        <w:drawing>
          <wp:inline distT="0" distB="0" distL="114300" distR="114300">
            <wp:extent cx="7833995" cy="5285105"/>
            <wp:effectExtent l="0" t="0" r="10795"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a:srcRect t="3202" r="2973"/>
                    <a:stretch>
                      <a:fillRect/>
                    </a:stretch>
                  </pic:blipFill>
                  <pic:spPr>
                    <a:xfrm rot="16200000">
                      <a:off x="0" y="0"/>
                      <a:ext cx="7833995" cy="5285105"/>
                    </a:xfrm>
                    <a:prstGeom prst="rect">
                      <a:avLst/>
                    </a:prstGeom>
                    <a:noFill/>
                    <a:ln>
                      <a:noFill/>
                    </a:ln>
                  </pic:spPr>
                </pic:pic>
              </a:graphicData>
            </a:graphic>
          </wp:inline>
        </w:drawing>
      </w:r>
      <w:r>
        <w:drawing>
          <wp:inline distT="0" distB="0" distL="114300" distR="114300">
            <wp:extent cx="7773035" cy="5285105"/>
            <wp:effectExtent l="0" t="0" r="10795" b="18415"/>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rcRect l="1426" t="6248" r="3287" b="433"/>
                    <a:stretch>
                      <a:fillRect/>
                    </a:stretch>
                  </pic:blipFill>
                  <pic:spPr>
                    <a:xfrm rot="16200000">
                      <a:off x="0" y="0"/>
                      <a:ext cx="7773035" cy="5285105"/>
                    </a:xfrm>
                    <a:prstGeom prst="rect">
                      <a:avLst/>
                    </a:prstGeom>
                    <a:noFill/>
                    <a:ln>
                      <a:noFill/>
                    </a:ln>
                  </pic:spPr>
                </pic:pic>
              </a:graphicData>
            </a:graphic>
          </wp:inline>
        </w:drawing>
      </w:r>
    </w:p>
    <w:p w14:paraId="06B1EE03">
      <w:pPr>
        <w:rPr>
          <w:rFonts w:hint="eastAsia"/>
          <w:lang w:val="en-US" w:eastAsia="zh-CN"/>
        </w:rPr>
      </w:pPr>
      <w:r>
        <w:rPr>
          <w:rFonts w:hint="eastAsia"/>
          <w:lang w:val="en-US" w:eastAsia="zh-CN"/>
        </w:rPr>
        <w:br w:type="page"/>
      </w:r>
    </w:p>
    <w:p w14:paraId="30179A90">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outlineLvl w:val="1"/>
        <w:rPr>
          <w:rFonts w:hint="eastAsia" w:cs="宋体"/>
          <w:b/>
          <w:bCs/>
          <w:lang w:val="en-US" w:eastAsia="zh-CN"/>
        </w:rPr>
      </w:pPr>
      <w:bookmarkStart w:id="48" w:name="_Toc557"/>
      <w:r>
        <w:rPr>
          <w:rFonts w:hint="eastAsia" w:cs="宋体"/>
          <w:b/>
          <w:bCs/>
          <w:lang w:val="en-US" w:eastAsia="zh-CN"/>
        </w:rPr>
        <w:t>附件4：用地兼容表</w:t>
      </w:r>
      <w:bookmarkEnd w:id="48"/>
    </w:p>
    <w:tbl>
      <w:tblPr>
        <w:tblStyle w:val="16"/>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40" w:type="dxa"/>
          <w:left w:w="64" w:type="dxa"/>
          <w:bottom w:w="40" w:type="dxa"/>
          <w:right w:w="64" w:type="dxa"/>
        </w:tblCellMar>
      </w:tblPr>
      <w:tblGrid>
        <w:gridCol w:w="830"/>
        <w:gridCol w:w="1649"/>
        <w:gridCol w:w="820"/>
        <w:gridCol w:w="1512"/>
        <w:gridCol w:w="1650"/>
        <w:gridCol w:w="682"/>
        <w:gridCol w:w="682"/>
        <w:gridCol w:w="959"/>
        <w:gridCol w:w="959"/>
      </w:tblGrid>
      <w:tr w14:paraId="416C0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tblHeader/>
          <w:jc w:val="center"/>
        </w:trPr>
        <w:tc>
          <w:tcPr>
            <w:tcW w:w="1649" w:type="dxa"/>
            <w:gridSpan w:val="2"/>
            <w:vMerge w:val="restart"/>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
          <w:p w14:paraId="030DBA64">
            <w:pPr>
              <w:keepNext w:val="0"/>
              <w:keepLines w:val="0"/>
              <w:widowControl/>
              <w:suppressLineNumbers w:val="0"/>
              <w:snapToGrid w:val="0"/>
              <w:ind w:firstLine="442" w:firstLineChars="200"/>
              <w:jc w:val="center"/>
              <w:textAlignment w:val="center"/>
              <w:rPr>
                <w:rFonts w:hint="eastAsia" w:ascii="宋体" w:hAnsi="宋体" w:eastAsia="宋体" w:cs="宋体"/>
                <w:b/>
                <w:i w:val="0"/>
                <w:iCs w:val="0"/>
                <w:color w:val="000000"/>
                <w:kern w:val="0"/>
                <w:sz w:val="22"/>
                <w:szCs w:val="22"/>
                <w:u w:val="none"/>
                <w:lang w:val="en-US" w:eastAsia="zh-CN" w:bidi="ar"/>
              </w:rPr>
            </w:pPr>
          </w:p>
          <w:p w14:paraId="35BF33D5">
            <w:pPr>
              <w:keepNext w:val="0"/>
              <w:keepLines w:val="0"/>
              <w:widowControl/>
              <w:suppressLineNumbers w:val="0"/>
              <w:snapToGrid w:val="0"/>
              <w:ind w:firstLine="663" w:firstLineChars="300"/>
              <w:jc w:val="center"/>
              <w:textAlignment w:val="center"/>
              <w:rPr>
                <w:rFonts w:hint="eastAsia" w:ascii="宋体" w:hAnsi="宋体" w:eastAsia="宋体" w:cs="宋体"/>
                <w:b/>
                <w:i w:val="0"/>
                <w:iCs w:val="0"/>
                <w:color w:val="000000"/>
                <w:kern w:val="0"/>
                <w:sz w:val="22"/>
                <w:szCs w:val="22"/>
                <w:u w:val="none"/>
                <w:lang w:val="en-US" w:eastAsia="zh-CN" w:bidi="ar"/>
              </w:rPr>
            </w:pPr>
            <w:r>
              <w:rPr>
                <w:rFonts w:hint="eastAsia" w:ascii="宋体" w:hAnsi="宋体" w:eastAsia="宋体" w:cs="宋体"/>
                <w:b/>
                <w:i w:val="0"/>
                <w:iCs w:val="0"/>
                <w:color w:val="000000"/>
                <w:kern w:val="0"/>
                <w:sz w:val="22"/>
                <w:szCs w:val="22"/>
                <w:u w:val="none"/>
                <w:lang w:val="en-US" w:eastAsia="zh-CN" w:bidi="ar"/>
              </w:rPr>
              <w:t>主用途</w:t>
            </w:r>
          </w:p>
          <w:p w14:paraId="200E1919">
            <w:pPr>
              <w:keepNext w:val="0"/>
              <w:keepLines w:val="0"/>
              <w:widowControl/>
              <w:suppressLineNumbers w:val="0"/>
              <w:snapToGrid w:val="0"/>
              <w:ind w:firstLine="663" w:firstLineChars="300"/>
              <w:jc w:val="center"/>
              <w:textAlignment w:val="center"/>
              <w:rPr>
                <w:rFonts w:hint="eastAsia" w:ascii="宋体" w:hAnsi="宋体" w:eastAsia="宋体" w:cs="宋体"/>
                <w:b/>
                <w:i w:val="0"/>
                <w:iCs w:val="0"/>
                <w:color w:val="000000"/>
                <w:kern w:val="0"/>
                <w:sz w:val="22"/>
                <w:szCs w:val="22"/>
                <w:u w:val="none"/>
                <w:lang w:val="en-US" w:eastAsia="zh-CN" w:bidi="ar"/>
              </w:rPr>
            </w:pPr>
          </w:p>
          <w:p w14:paraId="62CAC7DE">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br w:type="textWrapping"/>
            </w:r>
            <w:r>
              <w:rPr>
                <w:rFonts w:hint="eastAsia" w:ascii="宋体" w:hAnsi="宋体" w:eastAsia="宋体" w:cs="宋体"/>
                <w:b/>
                <w:i w:val="0"/>
                <w:iCs w:val="0"/>
                <w:color w:val="000000"/>
                <w:kern w:val="0"/>
                <w:sz w:val="22"/>
                <w:szCs w:val="22"/>
                <w:u w:val="none"/>
                <w:lang w:val="en-US" w:eastAsia="zh-CN" w:bidi="ar"/>
              </w:rPr>
              <w:t>兼容用途</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8713">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0703</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95C5">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0704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7FD00">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08</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A4E25">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0901</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36DF">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1001</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BA47C">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1101</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0A85D">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13</w:t>
            </w:r>
          </w:p>
        </w:tc>
      </w:tr>
      <w:tr w14:paraId="4821F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tblHeader/>
          <w:jc w:val="center"/>
        </w:trPr>
        <w:tc>
          <w:tcPr>
            <w:tcW w:w="1649" w:type="dxa"/>
            <w:gridSpan w:val="2"/>
            <w:vMerge w:val="continue"/>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
          <w:p w14:paraId="76CF32FE">
            <w:pPr>
              <w:snapToGrid w:val="0"/>
              <w:jc w:val="center"/>
              <w:rPr>
                <w:rFonts w:hint="eastAsia" w:ascii="宋体" w:hAnsi="宋体" w:eastAsia="宋体" w:cs="宋体"/>
                <w:b/>
                <w:i w:val="0"/>
                <w:iCs w:val="0"/>
                <w:color w:val="000000"/>
                <w:sz w:val="22"/>
                <w:szCs w:val="22"/>
                <w:u w:val="none"/>
              </w:rPr>
            </w:pP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C52A4">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2"/>
                <w:u w:val="none"/>
              </w:rPr>
            </w:pPr>
            <w:r>
              <w:rPr>
                <w:rFonts w:hint="eastAsia" w:ascii="宋体" w:hAnsi="宋体" w:eastAsia="宋体" w:cs="宋体"/>
                <w:b/>
                <w:i w:val="0"/>
                <w:iCs w:val="0"/>
                <w:color w:val="000000"/>
                <w:kern w:val="0"/>
                <w:sz w:val="22"/>
                <w:szCs w:val="22"/>
                <w:u w:val="none"/>
                <w:lang w:val="en-US" w:eastAsia="zh-CN" w:bidi="ar"/>
              </w:rPr>
              <w:t>农村宅基地</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548C8">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0"/>
                <w:u w:val="none"/>
              </w:rPr>
            </w:pPr>
            <w:r>
              <w:rPr>
                <w:rFonts w:hint="eastAsia" w:ascii="宋体" w:hAnsi="宋体" w:eastAsia="宋体" w:cs="宋体"/>
                <w:b/>
                <w:i w:val="0"/>
                <w:iCs w:val="0"/>
                <w:color w:val="000000"/>
                <w:kern w:val="0"/>
                <w:sz w:val="22"/>
                <w:szCs w:val="20"/>
                <w:u w:val="none"/>
                <w:lang w:val="en-US" w:eastAsia="zh-CN" w:bidi="ar"/>
              </w:rPr>
              <w:t>农村社区服务设施用地</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8804">
            <w:pPr>
              <w:keepNext w:val="0"/>
              <w:keepLines w:val="0"/>
              <w:widowControl/>
              <w:suppressLineNumbers w:val="0"/>
              <w:snapToGrid w:val="0"/>
              <w:jc w:val="center"/>
              <w:textAlignment w:val="center"/>
              <w:rPr>
                <w:rFonts w:ascii="宋体" w:hAnsi="宋体" w:eastAsia="宋体" w:cs="黑体"/>
                <w:b/>
                <w:bCs/>
                <w:i w:val="0"/>
                <w:iCs w:val="0"/>
                <w:color w:val="000000"/>
                <w:sz w:val="22"/>
                <w:szCs w:val="20"/>
                <w:u w:val="none"/>
              </w:rPr>
            </w:pPr>
            <w:r>
              <w:rPr>
                <w:rFonts w:hint="eastAsia" w:ascii="宋体" w:hAnsi="宋体" w:eastAsia="宋体" w:cs="黑体"/>
                <w:b/>
                <w:bCs/>
                <w:i w:val="0"/>
                <w:iCs w:val="0"/>
                <w:color w:val="000000"/>
                <w:kern w:val="0"/>
                <w:sz w:val="22"/>
                <w:szCs w:val="20"/>
                <w:u w:val="none"/>
                <w:lang w:val="en-US" w:eastAsia="zh-CN" w:bidi="ar"/>
              </w:rPr>
              <w:t>公共管理与公共服务用地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4E3FC">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0"/>
                <w:u w:val="none"/>
              </w:rPr>
            </w:pPr>
            <w:r>
              <w:rPr>
                <w:rFonts w:hint="eastAsia" w:ascii="宋体" w:hAnsi="宋体" w:eastAsia="宋体" w:cs="宋体"/>
                <w:b/>
                <w:i w:val="0"/>
                <w:iCs w:val="0"/>
                <w:color w:val="000000"/>
                <w:kern w:val="0"/>
                <w:sz w:val="22"/>
                <w:szCs w:val="20"/>
                <w:u w:val="none"/>
                <w:lang w:val="en-US" w:eastAsia="zh-CN" w:bidi="ar"/>
              </w:rPr>
              <w:t>商业用地</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83104">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0"/>
                <w:u w:val="none"/>
              </w:rPr>
            </w:pPr>
            <w:r>
              <w:rPr>
                <w:rFonts w:hint="eastAsia" w:ascii="宋体" w:hAnsi="宋体" w:eastAsia="宋体" w:cs="宋体"/>
                <w:b/>
                <w:i w:val="0"/>
                <w:iCs w:val="0"/>
                <w:color w:val="000000"/>
                <w:kern w:val="0"/>
                <w:sz w:val="22"/>
                <w:szCs w:val="20"/>
                <w:u w:val="none"/>
                <w:lang w:val="en-US" w:eastAsia="zh-CN" w:bidi="ar"/>
              </w:rPr>
              <w:t>工业用地</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0D3E4">
            <w:pPr>
              <w:keepNext w:val="0"/>
              <w:keepLines w:val="0"/>
              <w:widowControl/>
              <w:suppressLineNumbers w:val="0"/>
              <w:snapToGrid w:val="0"/>
              <w:jc w:val="center"/>
              <w:textAlignment w:val="center"/>
              <w:rPr>
                <w:rFonts w:hint="eastAsia" w:ascii="宋体" w:hAnsi="宋体" w:eastAsia="宋体" w:cs="宋体"/>
                <w:b/>
                <w:i w:val="0"/>
                <w:iCs w:val="0"/>
                <w:color w:val="000000"/>
                <w:sz w:val="22"/>
                <w:szCs w:val="20"/>
                <w:u w:val="none"/>
              </w:rPr>
            </w:pPr>
            <w:r>
              <w:rPr>
                <w:rFonts w:hint="eastAsia" w:ascii="宋体" w:hAnsi="宋体" w:eastAsia="宋体" w:cs="宋体"/>
                <w:b/>
                <w:i w:val="0"/>
                <w:iCs w:val="0"/>
                <w:color w:val="000000"/>
                <w:kern w:val="0"/>
                <w:sz w:val="22"/>
                <w:szCs w:val="20"/>
                <w:u w:val="none"/>
                <w:lang w:val="en-US" w:eastAsia="zh-CN" w:bidi="ar"/>
              </w:rPr>
              <w:t>物流仓储用地</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8BC08">
            <w:pPr>
              <w:keepNext w:val="0"/>
              <w:keepLines w:val="0"/>
              <w:widowControl/>
              <w:suppressLineNumbers w:val="0"/>
              <w:snapToGrid w:val="0"/>
              <w:jc w:val="center"/>
              <w:textAlignment w:val="center"/>
              <w:rPr>
                <w:rFonts w:hint="eastAsia" w:ascii="宋体" w:hAnsi="宋体" w:eastAsia="宋体" w:cs="黑体"/>
                <w:b/>
                <w:bCs/>
                <w:i w:val="0"/>
                <w:iCs w:val="0"/>
                <w:color w:val="000000"/>
                <w:sz w:val="22"/>
                <w:szCs w:val="20"/>
                <w:u w:val="none"/>
              </w:rPr>
            </w:pPr>
            <w:r>
              <w:rPr>
                <w:rFonts w:hint="eastAsia" w:ascii="宋体" w:hAnsi="宋体" w:eastAsia="宋体" w:cs="黑体"/>
                <w:b/>
                <w:bCs/>
                <w:i w:val="0"/>
                <w:iCs w:val="0"/>
                <w:color w:val="000000"/>
                <w:kern w:val="0"/>
                <w:sz w:val="22"/>
                <w:szCs w:val="20"/>
                <w:u w:val="none"/>
                <w:lang w:val="en-US" w:eastAsia="zh-CN" w:bidi="ar"/>
              </w:rPr>
              <w:t>公用设施用地</w:t>
            </w:r>
          </w:p>
        </w:tc>
      </w:tr>
      <w:tr w14:paraId="5EBB6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F5DC0">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0703</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E7A3E">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农村宅基地</w:t>
            </w:r>
          </w:p>
        </w:tc>
        <w:tc>
          <w:tcPr>
            <w:tcW w:w="820"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14:paraId="6781924C">
            <w:pPr>
              <w:snapToGrid w:val="0"/>
              <w:jc w:val="center"/>
              <w:rPr>
                <w:rFonts w:hint="eastAsia" w:ascii="宋体" w:hAnsi="宋体" w:eastAsia="宋体" w:cs="宋体"/>
                <w:i w:val="0"/>
                <w:iCs w:val="0"/>
                <w:color w:val="000000"/>
                <w:sz w:val="22"/>
                <w:szCs w:val="22"/>
                <w:u w:val="none"/>
              </w:rPr>
            </w:pP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C9E8B">
            <w:pPr>
              <w:snapToGrid w:val="0"/>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8976">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6755C">
            <w:pPr>
              <w:snapToGrid w:val="0"/>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33515">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4A408">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574C6">
            <w:pPr>
              <w:snapToGrid w:val="0"/>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r>
      <w:tr w14:paraId="3DB20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5E132">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0704</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9FD1">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0"/>
                <w:u w:val="none"/>
              </w:rPr>
            </w:pPr>
            <w:r>
              <w:rPr>
                <w:rFonts w:hint="eastAsia" w:ascii="宋体" w:hAnsi="宋体" w:eastAsia="宋体" w:cs="宋体"/>
                <w:b/>
                <w:bCs/>
                <w:i w:val="0"/>
                <w:iCs w:val="0"/>
                <w:color w:val="000000"/>
                <w:kern w:val="0"/>
                <w:sz w:val="22"/>
                <w:szCs w:val="20"/>
                <w:u w:val="none"/>
                <w:lang w:val="en-US" w:eastAsia="zh-CN" w:bidi="ar"/>
              </w:rPr>
              <w:t>农村社区服务设施用地</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20AE7">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512"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14:paraId="3C2B05EB">
            <w:pPr>
              <w:snapToGrid w:val="0"/>
              <w:jc w:val="center"/>
              <w:rPr>
                <w:rFonts w:hint="eastAsia" w:ascii="宋体" w:hAnsi="宋体" w:eastAsia="宋体" w:cs="宋体"/>
                <w:i w:val="0"/>
                <w:iCs w:val="0"/>
                <w:color w:val="000000"/>
                <w:sz w:val="22"/>
                <w:szCs w:val="22"/>
                <w:u w:val="none"/>
              </w:rPr>
            </w:pP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F8051">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66F97">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CF6A5">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27168">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06A32">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r>
      <w:tr w14:paraId="714CD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A52ED">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08</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B682C">
            <w:pPr>
              <w:keepNext w:val="0"/>
              <w:keepLines w:val="0"/>
              <w:widowControl/>
              <w:suppressLineNumbers w:val="0"/>
              <w:snapToGrid w:val="0"/>
              <w:jc w:val="center"/>
              <w:textAlignment w:val="center"/>
              <w:rPr>
                <w:rFonts w:hint="eastAsia" w:ascii="宋体" w:hAnsi="宋体" w:eastAsia="宋体" w:cs="黑体"/>
                <w:b/>
                <w:bCs/>
                <w:i w:val="0"/>
                <w:iCs w:val="0"/>
                <w:color w:val="000000"/>
                <w:sz w:val="22"/>
                <w:szCs w:val="20"/>
                <w:u w:val="none"/>
              </w:rPr>
            </w:pPr>
            <w:r>
              <w:rPr>
                <w:rFonts w:hint="eastAsia" w:ascii="宋体" w:hAnsi="宋体" w:eastAsia="宋体" w:cs="黑体"/>
                <w:b/>
                <w:bCs/>
                <w:i w:val="0"/>
                <w:iCs w:val="0"/>
                <w:color w:val="000000"/>
                <w:kern w:val="0"/>
                <w:sz w:val="22"/>
                <w:szCs w:val="20"/>
                <w:u w:val="none"/>
                <w:lang w:val="en-US" w:eastAsia="zh-CN" w:bidi="ar"/>
              </w:rPr>
              <w:t>公共管理与公共服务用地</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1D0E">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657E">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650"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14:paraId="21056A73">
            <w:pPr>
              <w:snapToGrid w:val="0"/>
              <w:jc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434D8">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3696B">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CEE8E">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6CF66">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r>
      <w:tr w14:paraId="3E6FE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FC4E7">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0901</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8D9B1">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0"/>
                <w:u w:val="none"/>
              </w:rPr>
            </w:pPr>
            <w:r>
              <w:rPr>
                <w:rFonts w:hint="eastAsia" w:ascii="宋体" w:hAnsi="宋体" w:eastAsia="宋体" w:cs="宋体"/>
                <w:b/>
                <w:bCs/>
                <w:i w:val="0"/>
                <w:iCs w:val="0"/>
                <w:color w:val="000000"/>
                <w:kern w:val="0"/>
                <w:sz w:val="22"/>
                <w:szCs w:val="20"/>
                <w:u w:val="none"/>
                <w:lang w:val="en-US" w:eastAsia="zh-CN" w:bidi="ar"/>
              </w:rPr>
              <w:t>商业用地</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D2A12">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4565F">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1F2E7">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14:paraId="23A4AE7F">
            <w:pPr>
              <w:snapToGrid w:val="0"/>
              <w:jc w:val="center"/>
              <w:rPr>
                <w:rFonts w:hint="eastAsia" w:ascii="宋体" w:hAnsi="宋体" w:eastAsia="宋体" w:cs="宋体"/>
                <w:i w:val="0"/>
                <w:iCs w:val="0"/>
                <w:color w:val="000000"/>
                <w:sz w:val="22"/>
                <w:szCs w:val="22"/>
                <w:u w:val="none"/>
              </w:rPr>
            </w:pP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70E49">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24EC">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764E">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r>
      <w:tr w14:paraId="3EAA1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95764">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1001</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6E2EB">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0"/>
                <w:u w:val="none"/>
              </w:rPr>
            </w:pPr>
            <w:r>
              <w:rPr>
                <w:rFonts w:hint="eastAsia" w:ascii="宋体" w:hAnsi="宋体" w:eastAsia="宋体" w:cs="宋体"/>
                <w:b/>
                <w:bCs/>
                <w:i w:val="0"/>
                <w:iCs w:val="0"/>
                <w:color w:val="000000"/>
                <w:kern w:val="0"/>
                <w:sz w:val="22"/>
                <w:szCs w:val="20"/>
                <w:u w:val="none"/>
                <w:lang w:val="en-US" w:eastAsia="zh-CN" w:bidi="ar"/>
              </w:rPr>
              <w:t>工业用地</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FA31D">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D824F">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E804C">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A0D44">
            <w:pPr>
              <w:snapToGrid w:val="0"/>
              <w:ind w:left="0" w:leftChars="0" w:right="0" w:rightChars="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14:paraId="5B3C67F5">
            <w:pPr>
              <w:snapToGrid w:val="0"/>
              <w:jc w:val="center"/>
              <w:rPr>
                <w:rFonts w:hint="eastAsia" w:ascii="宋体" w:hAnsi="宋体" w:eastAsia="宋体" w:cs="宋体"/>
                <w:i w:val="0"/>
                <w:iCs w:val="0"/>
                <w:color w:val="000000"/>
                <w:sz w:val="22"/>
                <w:szCs w:val="22"/>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BA32B">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FF74F">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r>
      <w:tr w14:paraId="51C4A2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FD134">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1101</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AC1EC">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0"/>
                <w:u w:val="none"/>
              </w:rPr>
            </w:pPr>
            <w:r>
              <w:rPr>
                <w:rFonts w:hint="eastAsia" w:ascii="宋体" w:hAnsi="宋体" w:eastAsia="宋体" w:cs="宋体"/>
                <w:b/>
                <w:bCs/>
                <w:i w:val="0"/>
                <w:iCs w:val="0"/>
                <w:color w:val="000000"/>
                <w:kern w:val="0"/>
                <w:sz w:val="22"/>
                <w:szCs w:val="20"/>
                <w:u w:val="none"/>
                <w:lang w:val="en-US" w:eastAsia="zh-CN" w:bidi="ar"/>
              </w:rPr>
              <w:t>物流仓储用地</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81F15">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0D094">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FF0A0">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8A2B">
            <w:pPr>
              <w:snapToGrid w:val="0"/>
              <w:ind w:left="0" w:leftChars="0" w:right="0" w:rightChars="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973D9">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14:paraId="719C770A">
            <w:pPr>
              <w:snapToGrid w:val="0"/>
              <w:jc w:val="center"/>
              <w:rPr>
                <w:rFonts w:hint="eastAsia" w:ascii="宋体" w:hAnsi="宋体" w:eastAsia="宋体" w:cs="宋体"/>
                <w:i w:val="0"/>
                <w:iCs w:val="0"/>
                <w:color w:val="000000"/>
                <w:sz w:val="22"/>
                <w:szCs w:val="22"/>
                <w:u w:val="none"/>
              </w:rPr>
            </w:pP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918A3">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r>
      <w:tr w14:paraId="5C7E9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40" w:type="dxa"/>
            <w:left w:w="64" w:type="dxa"/>
            <w:bottom w:w="40" w:type="dxa"/>
            <w:right w:w="64" w:type="dxa"/>
          </w:tblCellMar>
        </w:tblPrEx>
        <w:trPr>
          <w:trHeight w:val="0" w:hRule="atLeast"/>
          <w:jc w:val="center"/>
        </w:trPr>
        <w:tc>
          <w:tcPr>
            <w:tcW w:w="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F962D">
            <w:pPr>
              <w:keepNext w:val="0"/>
              <w:keepLines w:val="0"/>
              <w:widowControl/>
              <w:suppressLineNumbers w:val="0"/>
              <w:snapToGrid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w:t>
            </w:r>
          </w:p>
        </w:tc>
        <w:tc>
          <w:tcPr>
            <w:tcW w:w="16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492EF">
            <w:pPr>
              <w:keepNext w:val="0"/>
              <w:keepLines w:val="0"/>
              <w:widowControl/>
              <w:suppressLineNumbers w:val="0"/>
              <w:snapToGrid w:val="0"/>
              <w:jc w:val="center"/>
              <w:textAlignment w:val="center"/>
              <w:rPr>
                <w:rFonts w:hint="eastAsia" w:ascii="宋体" w:hAnsi="宋体" w:eastAsia="宋体" w:cs="黑体"/>
                <w:b/>
                <w:bCs/>
                <w:i w:val="0"/>
                <w:iCs w:val="0"/>
                <w:color w:val="000000"/>
                <w:sz w:val="22"/>
                <w:szCs w:val="20"/>
                <w:u w:val="none"/>
              </w:rPr>
            </w:pPr>
            <w:r>
              <w:rPr>
                <w:rFonts w:hint="eastAsia" w:ascii="宋体" w:hAnsi="宋体" w:eastAsia="宋体" w:cs="黑体"/>
                <w:b/>
                <w:bCs/>
                <w:i w:val="0"/>
                <w:iCs w:val="0"/>
                <w:color w:val="000000"/>
                <w:kern w:val="0"/>
                <w:sz w:val="22"/>
                <w:szCs w:val="20"/>
                <w:u w:val="none"/>
                <w:lang w:val="en-US" w:eastAsia="zh-CN" w:bidi="ar"/>
              </w:rPr>
              <w:t>公用设施用地</w:t>
            </w:r>
          </w:p>
        </w:tc>
        <w:tc>
          <w:tcPr>
            <w:tcW w:w="8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85C72">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5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10F9B">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E85A5">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F2FB1">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F041A">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89161">
            <w:pPr>
              <w:snapToGrid w:val="0"/>
              <w:jc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w:t>
            </w:r>
          </w:p>
        </w:tc>
        <w:tc>
          <w:tcPr>
            <w:tcW w:w="959" w:type="dxa"/>
            <w:tcBorders>
              <w:top w:val="single" w:color="000000" w:sz="4" w:space="0"/>
              <w:left w:val="single" w:color="000000" w:sz="4" w:space="0"/>
              <w:bottom w:val="single" w:color="000000" w:sz="4" w:space="0"/>
              <w:right w:val="single" w:color="000000" w:sz="4" w:space="0"/>
              <w:tl2br w:val="single" w:color="000000" w:sz="4" w:space="0"/>
            </w:tcBorders>
            <w:shd w:val="clear" w:color="auto" w:fill="auto"/>
            <w:noWrap/>
            <w:vAlign w:val="center"/>
          </w:tcPr>
          <w:p w14:paraId="3DA60506">
            <w:pPr>
              <w:snapToGrid w:val="0"/>
              <w:jc w:val="center"/>
              <w:rPr>
                <w:rFonts w:hint="eastAsia" w:ascii="宋体" w:hAnsi="宋体" w:eastAsia="宋体" w:cs="宋体"/>
                <w:i w:val="0"/>
                <w:iCs w:val="0"/>
                <w:color w:val="000000"/>
                <w:sz w:val="22"/>
                <w:szCs w:val="22"/>
                <w:u w:val="none"/>
              </w:rPr>
            </w:pPr>
          </w:p>
        </w:tc>
      </w:tr>
    </w:tbl>
    <w:p w14:paraId="217D59C4">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rPr>
          <w:rFonts w:hint="default" w:cs="宋体"/>
          <w:b/>
          <w:bCs/>
          <w:lang w:val="en-US" w:eastAsia="zh-CN"/>
        </w:rPr>
      </w:pPr>
      <w:r>
        <w:rPr>
          <w:rFonts w:hint="default" w:cs="宋体"/>
          <w:b/>
          <w:bCs/>
          <w:lang w:val="en-US" w:eastAsia="zh-CN"/>
        </w:rPr>
        <w:t>注:</w:t>
      </w:r>
    </w:p>
    <w:p w14:paraId="0ED2158B">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rPr>
          <w:rFonts w:hint="eastAsia" w:ascii="宋体" w:hAnsi="宋体" w:eastAsia="宋体" w:cs="宋体"/>
          <w:i w:val="0"/>
          <w:iCs w:val="0"/>
          <w:color w:val="000000"/>
          <w:sz w:val="22"/>
          <w:szCs w:val="22"/>
          <w:u w:val="none"/>
          <w:lang w:val="en-US" w:eastAsia="zh-CN"/>
        </w:rPr>
      </w:pPr>
      <w:r>
        <w:rPr>
          <w:rFonts w:hint="default" w:ascii="宋体" w:hAnsi="宋体" w:eastAsia="宋体" w:cs="宋体"/>
          <w:i w:val="0"/>
          <w:iCs w:val="0"/>
          <w:color w:val="000000"/>
          <w:sz w:val="22"/>
          <w:szCs w:val="22"/>
          <w:u w:val="none"/>
          <w:lang w:val="en-US" w:eastAsia="zh-CN"/>
        </w:rPr>
        <w:t>①Δ</w:t>
      </w:r>
      <w:r>
        <w:rPr>
          <w:rFonts w:hint="eastAsia" w:ascii="宋体" w:hAnsi="宋体" w:eastAsia="宋体" w:cs="宋体"/>
          <w:i w:val="0"/>
          <w:iCs w:val="0"/>
          <w:color w:val="000000"/>
          <w:sz w:val="22"/>
          <w:szCs w:val="22"/>
          <w:u w:val="none"/>
          <w:lang w:val="en-US" w:eastAsia="zh-CN"/>
        </w:rPr>
        <w:t>表示“完全兼容”</w:t>
      </w:r>
      <w:r>
        <w:rPr>
          <w:rFonts w:hint="default" w:ascii="宋体" w:hAnsi="宋体" w:eastAsia="宋体" w:cs="宋体"/>
          <w:i w:val="0"/>
          <w:iCs w:val="0"/>
          <w:color w:val="000000"/>
          <w:sz w:val="22"/>
          <w:szCs w:val="22"/>
          <w:u w:val="none"/>
          <w:lang w:val="en-US" w:eastAsia="zh-CN"/>
        </w:rPr>
        <w:t>:</w:t>
      </w:r>
      <w:r>
        <w:rPr>
          <w:rFonts w:hint="eastAsia" w:ascii="宋体" w:hAnsi="宋体" w:eastAsia="宋体" w:cs="宋体"/>
          <w:i w:val="0"/>
          <w:iCs w:val="0"/>
          <w:color w:val="000000"/>
          <w:sz w:val="22"/>
          <w:szCs w:val="22"/>
          <w:u w:val="none"/>
          <w:lang w:val="en-US" w:eastAsia="zh-CN"/>
        </w:rPr>
        <w:t>指原规划用地性质可完全</w:t>
      </w:r>
      <w:r>
        <w:rPr>
          <w:rFonts w:hint="eastAsia" w:cs="宋体"/>
          <w:i w:val="0"/>
          <w:iCs w:val="0"/>
          <w:color w:val="000000"/>
          <w:sz w:val="22"/>
          <w:szCs w:val="22"/>
          <w:u w:val="none"/>
          <w:lang w:val="en-US" w:eastAsia="zh-CN"/>
        </w:rPr>
        <w:t>转变成其他</w:t>
      </w:r>
      <w:r>
        <w:rPr>
          <w:rFonts w:hint="eastAsia" w:ascii="宋体" w:hAnsi="宋体" w:eastAsia="宋体" w:cs="宋体"/>
          <w:i w:val="0"/>
          <w:iCs w:val="0"/>
          <w:color w:val="000000"/>
          <w:sz w:val="22"/>
          <w:szCs w:val="22"/>
          <w:u w:val="none"/>
          <w:lang w:val="en-US" w:eastAsia="zh-CN"/>
        </w:rPr>
        <w:t>用地性质</w:t>
      </w:r>
    </w:p>
    <w:p w14:paraId="196E784B">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220" w:firstLineChars="100"/>
        <w:jc w:val="both"/>
        <w:textAlignment w:val="auto"/>
        <w:rPr>
          <w:rFonts w:hint="eastAsia"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r>
        <w:rPr>
          <w:rFonts w:hint="eastAsia" w:cs="宋体"/>
          <w:i w:val="0"/>
          <w:iCs w:val="0"/>
          <w:color w:val="000000"/>
          <w:sz w:val="22"/>
          <w:szCs w:val="22"/>
          <w:u w:val="none"/>
          <w:lang w:val="en-US" w:eastAsia="zh-CN"/>
        </w:rPr>
        <w:t>表示“部分兼容”：指在满足原规划用地性质的前提下，可混合其他用地性质，原则上兼容比例不超过30%。</w:t>
      </w:r>
    </w:p>
    <w:p w14:paraId="7656C65B">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firstLine="220" w:firstLineChars="100"/>
        <w:jc w:val="both"/>
        <w:textAlignment w:val="auto"/>
        <w:rPr>
          <w:rFonts w:hint="default" w:cs="宋体"/>
          <w:i w:val="0"/>
          <w:iCs w:val="0"/>
          <w:color w:val="000000"/>
          <w:sz w:val="22"/>
          <w:szCs w:val="22"/>
          <w:u w:val="none"/>
          <w:lang w:val="en-US" w:eastAsia="zh-CN"/>
        </w:rPr>
      </w:pPr>
      <w:r>
        <w:rPr>
          <w:rFonts w:hint="eastAsia" w:cs="宋体"/>
          <w:i w:val="0"/>
          <w:iCs w:val="0"/>
          <w:color w:val="000000"/>
          <w:sz w:val="22"/>
          <w:szCs w:val="22"/>
          <w:u w:val="none"/>
          <w:lang w:val="en-US" w:eastAsia="zh-CN"/>
        </w:rPr>
        <w:t>×表示：“不兼容”：指不允许原规划用地性质转变或混合其他用地性质。</w:t>
      </w:r>
    </w:p>
    <w:p w14:paraId="5C29E7CA">
      <w:pPr>
        <w:rPr>
          <w:rFonts w:hint="default" w:cs="宋体"/>
          <w:b/>
          <w:bCs/>
          <w:lang w:val="en-US" w:eastAsia="zh-CN"/>
        </w:rPr>
      </w:pPr>
      <w:r>
        <w:rPr>
          <w:rFonts w:hint="default" w:cs="宋体"/>
          <w:b/>
          <w:bCs/>
          <w:lang w:val="en-US" w:eastAsia="zh-CN"/>
        </w:rPr>
        <w:br w:type="page"/>
      </w:r>
    </w:p>
    <w:p w14:paraId="5A168F78">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both"/>
        <w:textAlignment w:val="auto"/>
        <w:outlineLvl w:val="1"/>
        <w:rPr>
          <w:rFonts w:hint="eastAsia" w:cs="宋体"/>
          <w:b/>
          <w:bCs/>
          <w:lang w:val="en-US" w:eastAsia="zh-CN"/>
        </w:rPr>
      </w:pPr>
      <w:bookmarkStart w:id="49" w:name="_Toc21636"/>
      <w:r>
        <w:rPr>
          <w:rFonts w:hint="eastAsia" w:cs="宋体"/>
          <w:b/>
          <w:bCs/>
          <w:lang w:val="en-US" w:eastAsia="zh-CN"/>
        </w:rPr>
        <w:t>附件5：规划图则参考</w:t>
      </w:r>
      <w:bookmarkEnd w:id="49"/>
    </w:p>
    <w:p w14:paraId="26FE3EB3">
      <w:pPr>
        <w:pStyle w:val="7"/>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right="0" w:rightChars="0"/>
        <w:jc w:val="center"/>
        <w:textAlignment w:val="auto"/>
        <w:rPr>
          <w:rFonts w:hint="default" w:cs="宋体"/>
          <w:b/>
          <w:bCs/>
          <w:lang w:val="en-US" w:eastAsia="zh-CN"/>
        </w:rPr>
      </w:pPr>
      <w:r>
        <w:rPr>
          <w:rFonts w:hint="default" w:cs="宋体"/>
          <w:b/>
          <w:bCs/>
          <w:lang w:val="en-US" w:eastAsia="zh-CN"/>
        </w:rPr>
        <w:drawing>
          <wp:inline distT="0" distB="0" distL="114300" distR="114300">
            <wp:extent cx="7646035" cy="5400040"/>
            <wp:effectExtent l="0" t="0" r="10160" b="12065"/>
            <wp:docPr id="7" name="图片 7" descr="规划图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规划图则"/>
                    <pic:cNvPicPr>
                      <a:picLocks noChangeAspect="1"/>
                    </pic:cNvPicPr>
                  </pic:nvPicPr>
                  <pic:blipFill>
                    <a:blip r:embed="rId14"/>
                    <a:stretch>
                      <a:fillRect/>
                    </a:stretch>
                  </pic:blipFill>
                  <pic:spPr>
                    <a:xfrm rot="16200000">
                      <a:off x="0" y="0"/>
                      <a:ext cx="7646035" cy="5400040"/>
                    </a:xfrm>
                    <a:prstGeom prst="rect">
                      <a:avLst/>
                    </a:prstGeom>
                  </pic:spPr>
                </pic:pic>
              </a:graphicData>
            </a:graphic>
          </wp:inline>
        </w:drawing>
      </w:r>
    </w:p>
    <w:sectPr>
      <w:headerReference r:id="rId7" w:type="default"/>
      <w:footerReference r:id="rId8" w:type="default"/>
      <w:pgSz w:w="11910" w:h="16840"/>
      <w:pgMar w:top="1361" w:right="1361" w:bottom="1361" w:left="1361" w:header="1118" w:footer="993"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Segoe UI">
    <w:panose1 w:val="020B0502040204020203"/>
    <w:charset w:val="00"/>
    <w:family w:val="auto"/>
    <w:pitch w:val="default"/>
    <w:sig w:usb0="E4002EFF" w:usb1="C000E47F"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32B499">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CD03A">
    <w:pPr>
      <w:pStyle w:val="7"/>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3697605</wp:posOffset>
              </wp:positionH>
              <wp:positionV relativeFrom="page">
                <wp:posOffset>9921240</wp:posOffset>
              </wp:positionV>
              <wp:extent cx="166370" cy="152400"/>
              <wp:effectExtent l="0" t="0" r="0" b="0"/>
              <wp:wrapNone/>
              <wp:docPr id="6" name="文本框 102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14:paraId="5B7A5C9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1029" o:spid="_x0000_s1026" o:spt="202" type="#_x0000_t202" style="position:absolute;left:0pt;margin-left:291.15pt;margin-top:781.2pt;height:12pt;width:13.1pt;mso-position-horizontal-relative:page;mso-position-vertical-relative:page;z-index:-251655168;mso-width-relative:page;mso-height-relative:page;" filled="f" stroked="f" coordsize="21600,21600" o:gfxdata="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6fJ/GdsAAAANAQAADwAAAAAAAAABACAAAAAiAAAAZHJzL2Rvd25yZXYueG1s&#10;UEsBAhQAFAAAAAgAh07iQKNYBve8AQAAdAMAAA4AAAAAAAAAAQAgAAAAKgEAAGRycy9lMm9Eb2Mu&#10;eG1sUEsFBgAAAAAGAAYAWQEAAFgFAAAAAA==&#10;">
              <v:fill on="f" focussize="0,0"/>
              <v:stroke on="f"/>
              <v:imagedata o:title=""/>
              <o:lock v:ext="edit" aspectratio="f"/>
              <v:textbox inset="0mm,0mm,0mm,0mm">
                <w:txbxContent>
                  <w:p w14:paraId="5B7A5C9D">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A30B6">
    <w:pPr>
      <w:pStyle w:val="10"/>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D8EFE8">
    <w:pPr>
      <w:pStyle w:val="7"/>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4328795</wp:posOffset>
              </wp:positionH>
              <wp:positionV relativeFrom="page">
                <wp:posOffset>706120</wp:posOffset>
              </wp:positionV>
              <wp:extent cx="2673985" cy="132080"/>
              <wp:effectExtent l="0" t="0" r="0" b="0"/>
              <wp:wrapNone/>
              <wp:docPr id="3" name="文本框 1026"/>
              <wp:cNvGraphicFramePr/>
              <a:graphic xmlns:a="http://schemas.openxmlformats.org/drawingml/2006/main">
                <a:graphicData uri="http://schemas.microsoft.com/office/word/2010/wordprocessingShape">
                  <wps:wsp>
                    <wps:cNvSpPr txBox="1"/>
                    <wps:spPr>
                      <a:xfrm>
                        <a:off x="0" y="0"/>
                        <a:ext cx="2673985" cy="132080"/>
                      </a:xfrm>
                      <a:prstGeom prst="rect">
                        <a:avLst/>
                      </a:prstGeom>
                      <a:noFill/>
                      <a:ln>
                        <a:noFill/>
                      </a:ln>
                    </wps:spPr>
                    <wps:txbx>
                      <w:txbxContent>
                        <w:p w14:paraId="20C3ECBD">
                          <w:pPr>
                            <w:rPr>
                              <w:rFonts w:hint="eastAsia" w:ascii="隶书" w:eastAsia="隶书"/>
                              <w:color w:val="808080"/>
                              <w:sz w:val="18"/>
                              <w:lang w:val="en-US" w:eastAsia="zh-CN"/>
                            </w:rPr>
                          </w:pPr>
                          <w:r>
                            <w:rPr>
                              <w:rFonts w:hint="eastAsia" w:ascii="隶书" w:eastAsia="隶书"/>
                              <w:color w:val="808080"/>
                              <w:sz w:val="18"/>
                            </w:rPr>
                            <w:t>阳山县“通则式”村庄规划管理规定</w:t>
                          </w:r>
                        </w:p>
                      </w:txbxContent>
                    </wps:txbx>
                    <wps:bodyPr lIns="0" tIns="0" rIns="0" bIns="0" upright="1"/>
                  </wps:wsp>
                </a:graphicData>
              </a:graphic>
            </wp:anchor>
          </w:drawing>
        </mc:Choice>
        <mc:Fallback>
          <w:pict>
            <v:shape id="文本框 1026" o:spid="_x0000_s1026" o:spt="202" type="#_x0000_t202" style="position:absolute;left:0pt;margin-left:340.85pt;margin-top:55.6pt;height:10.4pt;width:210.55pt;mso-position-horizontal-relative:page;mso-position-vertical-relative:page;z-index:-251656192;mso-width-relative:page;mso-height-relative:page;" filled="f" stroked="f" coordsize="21600,21600" o:gfxdata="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jibrTZAAAADAEAAA8AAAAAAAAAAQAgAAAAIgAAAGRycy9kb3ducmV2Lnht&#10;bFBLAQIUABQAAAAIAIdO4kDgeJguvwEAAHUDAAAOAAAAAAAAAAEAIAAAACgBAABkcnMvZTJvRG9j&#10;LnhtbFBLBQYAAAAABgAGAFkBAABZBQAAAAA=&#10;">
              <v:fill on="f" focussize="0,0"/>
              <v:stroke on="f"/>
              <v:imagedata o:title=""/>
              <o:lock v:ext="edit" aspectratio="f"/>
              <v:textbox inset="0mm,0mm,0mm,0mm">
                <w:txbxContent>
                  <w:p w14:paraId="20C3ECBD">
                    <w:pPr>
                      <w:rPr>
                        <w:rFonts w:hint="eastAsia" w:ascii="隶书" w:eastAsia="隶书"/>
                        <w:color w:val="808080"/>
                        <w:sz w:val="18"/>
                        <w:lang w:val="en-US" w:eastAsia="zh-CN"/>
                      </w:rPr>
                    </w:pPr>
                    <w:r>
                      <w:rPr>
                        <w:rFonts w:hint="eastAsia" w:ascii="隶书" w:eastAsia="隶书"/>
                        <w:color w:val="808080"/>
                        <w:sz w:val="18"/>
                      </w:rPr>
                      <w:t>阳山县“通则式”村庄规划管理规定</w:t>
                    </w:r>
                  </w:p>
                </w:txbxContent>
              </v:textbox>
            </v:shape>
          </w:pict>
        </mc:Fallback>
      </mc:AlternateContent>
    </w:r>
    <w:r>
      <mc:AlternateContent>
        <mc:Choice Requires="wps">
          <w:drawing>
            <wp:anchor distT="0" distB="0" distL="114300" distR="114300" simplePos="0" relativeHeight="251659264" behindDoc="1" locked="0" layoutInCell="1" allowOverlap="1">
              <wp:simplePos x="0" y="0"/>
              <wp:positionH relativeFrom="page">
                <wp:posOffset>1292860</wp:posOffset>
              </wp:positionH>
              <wp:positionV relativeFrom="page">
                <wp:posOffset>857885</wp:posOffset>
              </wp:positionV>
              <wp:extent cx="4972685" cy="0"/>
              <wp:effectExtent l="0" t="0" r="0" b="0"/>
              <wp:wrapNone/>
              <wp:docPr id="2" name="直线 1025"/>
              <wp:cNvGraphicFramePr/>
              <a:graphic xmlns:a="http://schemas.openxmlformats.org/drawingml/2006/main">
                <a:graphicData uri="http://schemas.microsoft.com/office/word/2010/wordprocessingShape">
                  <wps:wsp>
                    <wps:cNvCnPr/>
                    <wps:spPr>
                      <a:xfrm>
                        <a:off x="0" y="0"/>
                        <a:ext cx="497268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1025" o:spid="_x0000_s1026" o:spt="20" style="position:absolute;left:0pt;margin-left:101.8pt;margin-top:67.55pt;height:0pt;width:391.55pt;mso-position-horizontal-relative:page;mso-position-vertical-relative:page;z-index:-251657216;mso-width-relative:page;mso-height-relative:page;" filled="f" stroked="t" coordsize="21600,21600" o:gfxdata="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R7xB1wAAAAsBAAAPAAAAAAAAAAEAIAAAACIAAABkcnMvZG93bnJldi54bWxQSwECFAAUAAAACACH&#10;TuJAXfc60OwBAADeAwAADgAAAAAAAAABACAAAAAmAQAAZHJzL2Uyb0RvYy54bWxQSwUGAAAAAAYA&#10;BgBZAQAAhAU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73FC5E"/>
    <w:multiLevelType w:val="singleLevel"/>
    <w:tmpl w:val="8E73FC5E"/>
    <w:lvl w:ilvl="0" w:tentative="0">
      <w:start w:val="1"/>
      <w:numFmt w:val="chineseCounting"/>
      <w:lvlText w:val="第%1章"/>
      <w:lvlJc w:val="left"/>
      <w:rPr>
        <w:rFonts w:hint="eastAsia"/>
      </w:rPr>
    </w:lvl>
  </w:abstractNum>
  <w:abstractNum w:abstractNumId="1">
    <w:nsid w:val="CD0915E1"/>
    <w:multiLevelType w:val="singleLevel"/>
    <w:tmpl w:val="CD0915E1"/>
    <w:lvl w:ilvl="0" w:tentative="0">
      <w:start w:val="1"/>
      <w:numFmt w:val="chineseCounting"/>
      <w:suff w:val="nothing"/>
      <w:lvlText w:val="第%1条 "/>
      <w:lvlJc w:val="left"/>
      <w:pPr>
        <w:tabs>
          <w:tab w:val="left" w:pos="0"/>
        </w:tabs>
        <w:ind w:left="0" w:firstLine="40"/>
      </w:pPr>
      <w:rPr>
        <w:rFonts w:hint="eastAsia" w:ascii="宋体" w:hAnsi="宋体" w:eastAsia="宋体" w:cs="宋体"/>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UzZTdlZDkzZTE1YjNlZjJjNDdhZTFmNWM5NmZjZTEifQ=="/>
    <w:docVar w:name="KSO_WPS_MARK_KEY" w:val="57e94243-2b48-496c-af6b-cc99761dcc69"/>
  </w:docVars>
  <w:rsids>
    <w:rsidRoot w:val="00000000"/>
    <w:rsid w:val="00056BB3"/>
    <w:rsid w:val="00963027"/>
    <w:rsid w:val="00D7136F"/>
    <w:rsid w:val="01055D51"/>
    <w:rsid w:val="01215E85"/>
    <w:rsid w:val="012F2443"/>
    <w:rsid w:val="01504A81"/>
    <w:rsid w:val="017D7424"/>
    <w:rsid w:val="01834D0C"/>
    <w:rsid w:val="018B2118"/>
    <w:rsid w:val="01D94415"/>
    <w:rsid w:val="01F22067"/>
    <w:rsid w:val="02133D95"/>
    <w:rsid w:val="02202865"/>
    <w:rsid w:val="022B3471"/>
    <w:rsid w:val="023A0FB7"/>
    <w:rsid w:val="023E381C"/>
    <w:rsid w:val="02595322"/>
    <w:rsid w:val="02630C50"/>
    <w:rsid w:val="028945B9"/>
    <w:rsid w:val="02AA4AEE"/>
    <w:rsid w:val="03175AFC"/>
    <w:rsid w:val="033C0D43"/>
    <w:rsid w:val="036952CF"/>
    <w:rsid w:val="03750979"/>
    <w:rsid w:val="038D36F1"/>
    <w:rsid w:val="03B90FC0"/>
    <w:rsid w:val="03F91CA9"/>
    <w:rsid w:val="04036D4A"/>
    <w:rsid w:val="04296264"/>
    <w:rsid w:val="043C3FBD"/>
    <w:rsid w:val="04435881"/>
    <w:rsid w:val="049C00C8"/>
    <w:rsid w:val="04CC5A6D"/>
    <w:rsid w:val="04D77EAA"/>
    <w:rsid w:val="05025778"/>
    <w:rsid w:val="05263456"/>
    <w:rsid w:val="058C4826"/>
    <w:rsid w:val="05E929C1"/>
    <w:rsid w:val="05EF3384"/>
    <w:rsid w:val="05F74846"/>
    <w:rsid w:val="05FE3860"/>
    <w:rsid w:val="060009DF"/>
    <w:rsid w:val="06137E56"/>
    <w:rsid w:val="06182FC4"/>
    <w:rsid w:val="063E0F83"/>
    <w:rsid w:val="065232E5"/>
    <w:rsid w:val="065E4B7E"/>
    <w:rsid w:val="06766ACB"/>
    <w:rsid w:val="06857C94"/>
    <w:rsid w:val="06DB3A69"/>
    <w:rsid w:val="078A20ED"/>
    <w:rsid w:val="07CF4DE0"/>
    <w:rsid w:val="07E33A79"/>
    <w:rsid w:val="08960EA3"/>
    <w:rsid w:val="08CC5DF3"/>
    <w:rsid w:val="08D5688C"/>
    <w:rsid w:val="08E46EA7"/>
    <w:rsid w:val="09290FD2"/>
    <w:rsid w:val="09367531"/>
    <w:rsid w:val="09490DC9"/>
    <w:rsid w:val="096B3C0A"/>
    <w:rsid w:val="0A0B6138"/>
    <w:rsid w:val="0A3F6C9F"/>
    <w:rsid w:val="0A5A56A6"/>
    <w:rsid w:val="0A623315"/>
    <w:rsid w:val="0A793240"/>
    <w:rsid w:val="0A983F6E"/>
    <w:rsid w:val="0AEB1631"/>
    <w:rsid w:val="0AF75680"/>
    <w:rsid w:val="0B0B0B09"/>
    <w:rsid w:val="0B1338B8"/>
    <w:rsid w:val="0B202452"/>
    <w:rsid w:val="0B5306D0"/>
    <w:rsid w:val="0B5F3494"/>
    <w:rsid w:val="0BE257DB"/>
    <w:rsid w:val="0C8E517C"/>
    <w:rsid w:val="0D2941EA"/>
    <w:rsid w:val="0DA01CE8"/>
    <w:rsid w:val="0E0317B0"/>
    <w:rsid w:val="0E2444C0"/>
    <w:rsid w:val="0E451D67"/>
    <w:rsid w:val="0E7E38D5"/>
    <w:rsid w:val="0EB4052B"/>
    <w:rsid w:val="0EC01DBF"/>
    <w:rsid w:val="0EDC6254"/>
    <w:rsid w:val="0F1862C4"/>
    <w:rsid w:val="0F1A42CE"/>
    <w:rsid w:val="0F4D20F6"/>
    <w:rsid w:val="0F763962"/>
    <w:rsid w:val="0F912498"/>
    <w:rsid w:val="0FB77CF1"/>
    <w:rsid w:val="101A1F3C"/>
    <w:rsid w:val="105C2E66"/>
    <w:rsid w:val="105C6DE2"/>
    <w:rsid w:val="10687DDF"/>
    <w:rsid w:val="107439CE"/>
    <w:rsid w:val="10775032"/>
    <w:rsid w:val="108E4939"/>
    <w:rsid w:val="10EC7829"/>
    <w:rsid w:val="115C2A08"/>
    <w:rsid w:val="115C6507"/>
    <w:rsid w:val="1160128E"/>
    <w:rsid w:val="118F2F35"/>
    <w:rsid w:val="119E12D8"/>
    <w:rsid w:val="11E66FB0"/>
    <w:rsid w:val="12452986"/>
    <w:rsid w:val="124B7BFB"/>
    <w:rsid w:val="125606A2"/>
    <w:rsid w:val="128976BA"/>
    <w:rsid w:val="12A0561E"/>
    <w:rsid w:val="12A6533A"/>
    <w:rsid w:val="12B80C0F"/>
    <w:rsid w:val="135D1254"/>
    <w:rsid w:val="1385284F"/>
    <w:rsid w:val="13D03791"/>
    <w:rsid w:val="13EB558A"/>
    <w:rsid w:val="14684343"/>
    <w:rsid w:val="14720619"/>
    <w:rsid w:val="14732F9B"/>
    <w:rsid w:val="14813060"/>
    <w:rsid w:val="148C2A4A"/>
    <w:rsid w:val="14E12169"/>
    <w:rsid w:val="15824C86"/>
    <w:rsid w:val="15856079"/>
    <w:rsid w:val="15A577C4"/>
    <w:rsid w:val="15BD561D"/>
    <w:rsid w:val="16232912"/>
    <w:rsid w:val="16522CDB"/>
    <w:rsid w:val="16656F67"/>
    <w:rsid w:val="168F2010"/>
    <w:rsid w:val="169F72CB"/>
    <w:rsid w:val="16AF0CC7"/>
    <w:rsid w:val="16E2350D"/>
    <w:rsid w:val="178E1F33"/>
    <w:rsid w:val="17AA44AA"/>
    <w:rsid w:val="17C664D0"/>
    <w:rsid w:val="17E85AC5"/>
    <w:rsid w:val="18392864"/>
    <w:rsid w:val="18453C60"/>
    <w:rsid w:val="184D326B"/>
    <w:rsid w:val="18521E38"/>
    <w:rsid w:val="185E7E63"/>
    <w:rsid w:val="186E5327"/>
    <w:rsid w:val="18A07ADC"/>
    <w:rsid w:val="18B27E87"/>
    <w:rsid w:val="18DC79EE"/>
    <w:rsid w:val="18F61F72"/>
    <w:rsid w:val="19297A6D"/>
    <w:rsid w:val="192D35A7"/>
    <w:rsid w:val="19567321"/>
    <w:rsid w:val="1981143D"/>
    <w:rsid w:val="19A33B9D"/>
    <w:rsid w:val="19C60DDD"/>
    <w:rsid w:val="1A2C1C55"/>
    <w:rsid w:val="1A35698F"/>
    <w:rsid w:val="1A4B3542"/>
    <w:rsid w:val="1AAA0BD5"/>
    <w:rsid w:val="1B3E04BD"/>
    <w:rsid w:val="1B40000E"/>
    <w:rsid w:val="1B63799D"/>
    <w:rsid w:val="1B845CBD"/>
    <w:rsid w:val="1BD27C70"/>
    <w:rsid w:val="1BFB6EBD"/>
    <w:rsid w:val="1C0832AA"/>
    <w:rsid w:val="1C0D11A1"/>
    <w:rsid w:val="1C6411A2"/>
    <w:rsid w:val="1C697765"/>
    <w:rsid w:val="1C6D2318"/>
    <w:rsid w:val="1CB112A1"/>
    <w:rsid w:val="1CC57F42"/>
    <w:rsid w:val="1D0B125E"/>
    <w:rsid w:val="1D1478E3"/>
    <w:rsid w:val="1DCA1AC6"/>
    <w:rsid w:val="1DDC550B"/>
    <w:rsid w:val="1E0107BF"/>
    <w:rsid w:val="1E0508CE"/>
    <w:rsid w:val="1E6D1BDF"/>
    <w:rsid w:val="1EA355E9"/>
    <w:rsid w:val="1EC01001"/>
    <w:rsid w:val="1ECD07CD"/>
    <w:rsid w:val="1ED241B0"/>
    <w:rsid w:val="1EDC4C44"/>
    <w:rsid w:val="1F053CF4"/>
    <w:rsid w:val="1FC60050"/>
    <w:rsid w:val="1FD21D70"/>
    <w:rsid w:val="20062518"/>
    <w:rsid w:val="203C70EC"/>
    <w:rsid w:val="20426025"/>
    <w:rsid w:val="20517888"/>
    <w:rsid w:val="20A67B9D"/>
    <w:rsid w:val="20BB7F4C"/>
    <w:rsid w:val="20D84105"/>
    <w:rsid w:val="20FF7332"/>
    <w:rsid w:val="21274C73"/>
    <w:rsid w:val="21277750"/>
    <w:rsid w:val="21CD58D7"/>
    <w:rsid w:val="21D65D10"/>
    <w:rsid w:val="22066450"/>
    <w:rsid w:val="22207409"/>
    <w:rsid w:val="22380333"/>
    <w:rsid w:val="227F0895"/>
    <w:rsid w:val="2288247A"/>
    <w:rsid w:val="22A30707"/>
    <w:rsid w:val="22AE1920"/>
    <w:rsid w:val="22F837EF"/>
    <w:rsid w:val="232937F1"/>
    <w:rsid w:val="232E7F55"/>
    <w:rsid w:val="23383418"/>
    <w:rsid w:val="234D0086"/>
    <w:rsid w:val="236E03B0"/>
    <w:rsid w:val="23700030"/>
    <w:rsid w:val="237D5A84"/>
    <w:rsid w:val="23A756FE"/>
    <w:rsid w:val="23C30AED"/>
    <w:rsid w:val="23D97A5F"/>
    <w:rsid w:val="24103D77"/>
    <w:rsid w:val="248854DA"/>
    <w:rsid w:val="24B87EDF"/>
    <w:rsid w:val="24E14A0E"/>
    <w:rsid w:val="2532799E"/>
    <w:rsid w:val="254C7A07"/>
    <w:rsid w:val="25550627"/>
    <w:rsid w:val="25A50095"/>
    <w:rsid w:val="25A70A0A"/>
    <w:rsid w:val="25E01DC3"/>
    <w:rsid w:val="26151588"/>
    <w:rsid w:val="26796F8C"/>
    <w:rsid w:val="268F3BD0"/>
    <w:rsid w:val="269E7009"/>
    <w:rsid w:val="26C1499C"/>
    <w:rsid w:val="26DC0EAD"/>
    <w:rsid w:val="27550449"/>
    <w:rsid w:val="2762006E"/>
    <w:rsid w:val="27D946EC"/>
    <w:rsid w:val="28372507"/>
    <w:rsid w:val="287709E1"/>
    <w:rsid w:val="289A5807"/>
    <w:rsid w:val="289E57FB"/>
    <w:rsid w:val="28A60589"/>
    <w:rsid w:val="28BE0C10"/>
    <w:rsid w:val="292F2A9F"/>
    <w:rsid w:val="298C0BA5"/>
    <w:rsid w:val="29BC407A"/>
    <w:rsid w:val="29CB291D"/>
    <w:rsid w:val="29E53F79"/>
    <w:rsid w:val="2A4A0F51"/>
    <w:rsid w:val="2A905451"/>
    <w:rsid w:val="2AC71E11"/>
    <w:rsid w:val="2B3D5BF4"/>
    <w:rsid w:val="2B7D3054"/>
    <w:rsid w:val="2B841D92"/>
    <w:rsid w:val="2B866477"/>
    <w:rsid w:val="2B906CA3"/>
    <w:rsid w:val="2BC07775"/>
    <w:rsid w:val="2BED2084"/>
    <w:rsid w:val="2C0D5FA8"/>
    <w:rsid w:val="2C191789"/>
    <w:rsid w:val="2C666469"/>
    <w:rsid w:val="2C783568"/>
    <w:rsid w:val="2C823F95"/>
    <w:rsid w:val="2CAE175C"/>
    <w:rsid w:val="2CB34A44"/>
    <w:rsid w:val="2CCB29E4"/>
    <w:rsid w:val="2CE90FB4"/>
    <w:rsid w:val="2CEE2546"/>
    <w:rsid w:val="2D022EED"/>
    <w:rsid w:val="2D506D67"/>
    <w:rsid w:val="2D6B453F"/>
    <w:rsid w:val="2D8A4E29"/>
    <w:rsid w:val="2EFE7D27"/>
    <w:rsid w:val="2F091172"/>
    <w:rsid w:val="2F662C24"/>
    <w:rsid w:val="2F75430C"/>
    <w:rsid w:val="2FFC3DF5"/>
    <w:rsid w:val="3073530A"/>
    <w:rsid w:val="30931684"/>
    <w:rsid w:val="31121A8C"/>
    <w:rsid w:val="313C05D6"/>
    <w:rsid w:val="31B930AC"/>
    <w:rsid w:val="31BA18BD"/>
    <w:rsid w:val="31D82653"/>
    <w:rsid w:val="31FF6116"/>
    <w:rsid w:val="32125541"/>
    <w:rsid w:val="322A55C2"/>
    <w:rsid w:val="32645ABA"/>
    <w:rsid w:val="326A3247"/>
    <w:rsid w:val="327F0671"/>
    <w:rsid w:val="328B113D"/>
    <w:rsid w:val="32A63A63"/>
    <w:rsid w:val="32A856DE"/>
    <w:rsid w:val="32BD4CE2"/>
    <w:rsid w:val="32C24615"/>
    <w:rsid w:val="32E70612"/>
    <w:rsid w:val="32F756F3"/>
    <w:rsid w:val="33171A40"/>
    <w:rsid w:val="33833285"/>
    <w:rsid w:val="33D31514"/>
    <w:rsid w:val="34455FD0"/>
    <w:rsid w:val="34750DCE"/>
    <w:rsid w:val="348C7D64"/>
    <w:rsid w:val="34A846ED"/>
    <w:rsid w:val="35366BDD"/>
    <w:rsid w:val="353D7F83"/>
    <w:rsid w:val="356E6305"/>
    <w:rsid w:val="357A72F6"/>
    <w:rsid w:val="35A54496"/>
    <w:rsid w:val="35DD4DEC"/>
    <w:rsid w:val="35EA1C7A"/>
    <w:rsid w:val="36190F8F"/>
    <w:rsid w:val="36236407"/>
    <w:rsid w:val="36851D82"/>
    <w:rsid w:val="36A35AAF"/>
    <w:rsid w:val="36C943D3"/>
    <w:rsid w:val="36FE1D16"/>
    <w:rsid w:val="37090CD6"/>
    <w:rsid w:val="373A29CC"/>
    <w:rsid w:val="374B61CE"/>
    <w:rsid w:val="374E6F28"/>
    <w:rsid w:val="37585269"/>
    <w:rsid w:val="377D6A97"/>
    <w:rsid w:val="377F55BE"/>
    <w:rsid w:val="37A36CD7"/>
    <w:rsid w:val="37D416A4"/>
    <w:rsid w:val="382A0F33"/>
    <w:rsid w:val="384C346C"/>
    <w:rsid w:val="388E25E0"/>
    <w:rsid w:val="392E0B3F"/>
    <w:rsid w:val="39495259"/>
    <w:rsid w:val="395808A9"/>
    <w:rsid w:val="395D705C"/>
    <w:rsid w:val="39903935"/>
    <w:rsid w:val="39A57F58"/>
    <w:rsid w:val="39A93AB3"/>
    <w:rsid w:val="39BE292C"/>
    <w:rsid w:val="39E45F74"/>
    <w:rsid w:val="3A021D15"/>
    <w:rsid w:val="3A1144D2"/>
    <w:rsid w:val="3A161DA8"/>
    <w:rsid w:val="3A1F4A5E"/>
    <w:rsid w:val="3A2B6835"/>
    <w:rsid w:val="3A383CAD"/>
    <w:rsid w:val="3A622F6E"/>
    <w:rsid w:val="3A800389"/>
    <w:rsid w:val="3A920212"/>
    <w:rsid w:val="3AAF1923"/>
    <w:rsid w:val="3ABC4819"/>
    <w:rsid w:val="3B3A4FD5"/>
    <w:rsid w:val="3BB434E1"/>
    <w:rsid w:val="3BBD2A86"/>
    <w:rsid w:val="3BC31528"/>
    <w:rsid w:val="3BF6437E"/>
    <w:rsid w:val="3BF82174"/>
    <w:rsid w:val="3C3D3B2D"/>
    <w:rsid w:val="3C8E4303"/>
    <w:rsid w:val="3CCA7DB7"/>
    <w:rsid w:val="3D24595A"/>
    <w:rsid w:val="3D6971D0"/>
    <w:rsid w:val="3D6A1B31"/>
    <w:rsid w:val="3DBA6551"/>
    <w:rsid w:val="3DCD7770"/>
    <w:rsid w:val="3DD44C2C"/>
    <w:rsid w:val="3DF22091"/>
    <w:rsid w:val="3E1A31DA"/>
    <w:rsid w:val="3E2E6510"/>
    <w:rsid w:val="3E46434D"/>
    <w:rsid w:val="3E57198A"/>
    <w:rsid w:val="3E6400AC"/>
    <w:rsid w:val="3E662206"/>
    <w:rsid w:val="3E6E0E79"/>
    <w:rsid w:val="3E747FB1"/>
    <w:rsid w:val="3E8B7A76"/>
    <w:rsid w:val="3F2E1A93"/>
    <w:rsid w:val="3F3073B8"/>
    <w:rsid w:val="3F6D0A65"/>
    <w:rsid w:val="3FB307F0"/>
    <w:rsid w:val="3FBB65AF"/>
    <w:rsid w:val="3FF20746"/>
    <w:rsid w:val="3FF327A1"/>
    <w:rsid w:val="3FF93851"/>
    <w:rsid w:val="40083D40"/>
    <w:rsid w:val="40130CAF"/>
    <w:rsid w:val="404C1C73"/>
    <w:rsid w:val="4093373C"/>
    <w:rsid w:val="40A2448B"/>
    <w:rsid w:val="40EE77FE"/>
    <w:rsid w:val="412255E9"/>
    <w:rsid w:val="41944408"/>
    <w:rsid w:val="41EE26C9"/>
    <w:rsid w:val="42092592"/>
    <w:rsid w:val="420C686B"/>
    <w:rsid w:val="423C1CEE"/>
    <w:rsid w:val="425D2E93"/>
    <w:rsid w:val="426137A1"/>
    <w:rsid w:val="42646EFA"/>
    <w:rsid w:val="428C263D"/>
    <w:rsid w:val="42984E63"/>
    <w:rsid w:val="42AF1E4A"/>
    <w:rsid w:val="42D617B7"/>
    <w:rsid w:val="42F4328A"/>
    <w:rsid w:val="43467D7D"/>
    <w:rsid w:val="434E26FB"/>
    <w:rsid w:val="43EA2579"/>
    <w:rsid w:val="44332C7D"/>
    <w:rsid w:val="443C745E"/>
    <w:rsid w:val="44747A2C"/>
    <w:rsid w:val="44C41835"/>
    <w:rsid w:val="44D82202"/>
    <w:rsid w:val="44DA46CB"/>
    <w:rsid w:val="44E13BB3"/>
    <w:rsid w:val="45665193"/>
    <w:rsid w:val="45DB6DB6"/>
    <w:rsid w:val="46501347"/>
    <w:rsid w:val="46862299"/>
    <w:rsid w:val="46CB2247"/>
    <w:rsid w:val="46D332C1"/>
    <w:rsid w:val="470A341B"/>
    <w:rsid w:val="47587C55"/>
    <w:rsid w:val="477A5376"/>
    <w:rsid w:val="477E453A"/>
    <w:rsid w:val="481A533E"/>
    <w:rsid w:val="48E87129"/>
    <w:rsid w:val="49080B7C"/>
    <w:rsid w:val="49235A59"/>
    <w:rsid w:val="496259D1"/>
    <w:rsid w:val="496C4B79"/>
    <w:rsid w:val="497D0831"/>
    <w:rsid w:val="49935043"/>
    <w:rsid w:val="49AC016B"/>
    <w:rsid w:val="49FE46F2"/>
    <w:rsid w:val="4A143551"/>
    <w:rsid w:val="4A154318"/>
    <w:rsid w:val="4A2C01DB"/>
    <w:rsid w:val="4A4B6D70"/>
    <w:rsid w:val="4A9471CC"/>
    <w:rsid w:val="4AB4373D"/>
    <w:rsid w:val="4ABF34BD"/>
    <w:rsid w:val="4AC138F1"/>
    <w:rsid w:val="4AC27ED4"/>
    <w:rsid w:val="4AE802F1"/>
    <w:rsid w:val="4AE95975"/>
    <w:rsid w:val="4AED0783"/>
    <w:rsid w:val="4B2679D8"/>
    <w:rsid w:val="4B411887"/>
    <w:rsid w:val="4B4A0E91"/>
    <w:rsid w:val="4B5936AA"/>
    <w:rsid w:val="4B69167A"/>
    <w:rsid w:val="4BA73A3D"/>
    <w:rsid w:val="4BB9452C"/>
    <w:rsid w:val="4BBF2155"/>
    <w:rsid w:val="4C3E6531"/>
    <w:rsid w:val="4C4E4A44"/>
    <w:rsid w:val="4C9B1BD9"/>
    <w:rsid w:val="4CA40EAE"/>
    <w:rsid w:val="4CB074DF"/>
    <w:rsid w:val="4CC31BEE"/>
    <w:rsid w:val="4D5A4BAA"/>
    <w:rsid w:val="4D6F2C1B"/>
    <w:rsid w:val="4D775994"/>
    <w:rsid w:val="4D976499"/>
    <w:rsid w:val="4DE1483B"/>
    <w:rsid w:val="4DF75A3D"/>
    <w:rsid w:val="4E575D78"/>
    <w:rsid w:val="4E65431C"/>
    <w:rsid w:val="4E827E71"/>
    <w:rsid w:val="4ECC26D2"/>
    <w:rsid w:val="4EE52608"/>
    <w:rsid w:val="4F0B3CA6"/>
    <w:rsid w:val="4F1137C6"/>
    <w:rsid w:val="4F1A1DBB"/>
    <w:rsid w:val="4F271D3E"/>
    <w:rsid w:val="4F7D56F4"/>
    <w:rsid w:val="504306EC"/>
    <w:rsid w:val="504C1E8F"/>
    <w:rsid w:val="50616347"/>
    <w:rsid w:val="5099115C"/>
    <w:rsid w:val="509F3A16"/>
    <w:rsid w:val="50B618F8"/>
    <w:rsid w:val="50D64D52"/>
    <w:rsid w:val="50F00361"/>
    <w:rsid w:val="50F47277"/>
    <w:rsid w:val="51261604"/>
    <w:rsid w:val="51501AF7"/>
    <w:rsid w:val="51CC7393"/>
    <w:rsid w:val="51F96793"/>
    <w:rsid w:val="52016097"/>
    <w:rsid w:val="520C748A"/>
    <w:rsid w:val="52AD3FB1"/>
    <w:rsid w:val="52B97271"/>
    <w:rsid w:val="52F753AB"/>
    <w:rsid w:val="52FD48D7"/>
    <w:rsid w:val="531D16BF"/>
    <w:rsid w:val="531D6A24"/>
    <w:rsid w:val="53464EF5"/>
    <w:rsid w:val="53762B86"/>
    <w:rsid w:val="537D393E"/>
    <w:rsid w:val="53CA3BE3"/>
    <w:rsid w:val="53E711DE"/>
    <w:rsid w:val="543E7B49"/>
    <w:rsid w:val="544F115F"/>
    <w:rsid w:val="54692526"/>
    <w:rsid w:val="547816AB"/>
    <w:rsid w:val="54D7378E"/>
    <w:rsid w:val="54F232A5"/>
    <w:rsid w:val="54F72B08"/>
    <w:rsid w:val="55804D54"/>
    <w:rsid w:val="559634C0"/>
    <w:rsid w:val="55D53BAD"/>
    <w:rsid w:val="55F26FFE"/>
    <w:rsid w:val="56304905"/>
    <w:rsid w:val="5696489C"/>
    <w:rsid w:val="56996391"/>
    <w:rsid w:val="56C90C4E"/>
    <w:rsid w:val="576511D6"/>
    <w:rsid w:val="57757B5A"/>
    <w:rsid w:val="579E184B"/>
    <w:rsid w:val="57EB6225"/>
    <w:rsid w:val="57F4330B"/>
    <w:rsid w:val="57F528EA"/>
    <w:rsid w:val="58150567"/>
    <w:rsid w:val="584C167E"/>
    <w:rsid w:val="58502569"/>
    <w:rsid w:val="585A7A00"/>
    <w:rsid w:val="586D2BED"/>
    <w:rsid w:val="5884036A"/>
    <w:rsid w:val="589A01B3"/>
    <w:rsid w:val="58A34359"/>
    <w:rsid w:val="58C0286E"/>
    <w:rsid w:val="590B58E2"/>
    <w:rsid w:val="59201FD4"/>
    <w:rsid w:val="59967408"/>
    <w:rsid w:val="59BC0320"/>
    <w:rsid w:val="59E217A4"/>
    <w:rsid w:val="59E7432E"/>
    <w:rsid w:val="5A0A1945"/>
    <w:rsid w:val="5A2C5317"/>
    <w:rsid w:val="5A421A14"/>
    <w:rsid w:val="5A6254BC"/>
    <w:rsid w:val="5A7F0572"/>
    <w:rsid w:val="5B532BE1"/>
    <w:rsid w:val="5BA873DA"/>
    <w:rsid w:val="5BD80C3B"/>
    <w:rsid w:val="5BD908B0"/>
    <w:rsid w:val="5C3E76E6"/>
    <w:rsid w:val="5C844566"/>
    <w:rsid w:val="5D3910F6"/>
    <w:rsid w:val="5D9D7BB3"/>
    <w:rsid w:val="5DB20C8E"/>
    <w:rsid w:val="5DD50371"/>
    <w:rsid w:val="5DE35ECB"/>
    <w:rsid w:val="5F4C221C"/>
    <w:rsid w:val="5F9B12E6"/>
    <w:rsid w:val="5FA878F5"/>
    <w:rsid w:val="5FDE022E"/>
    <w:rsid w:val="5FF564FD"/>
    <w:rsid w:val="60123C37"/>
    <w:rsid w:val="60642034"/>
    <w:rsid w:val="6094614B"/>
    <w:rsid w:val="60D76DB5"/>
    <w:rsid w:val="61213F4D"/>
    <w:rsid w:val="612637AF"/>
    <w:rsid w:val="61526243"/>
    <w:rsid w:val="615F42A5"/>
    <w:rsid w:val="616C473C"/>
    <w:rsid w:val="61B42017"/>
    <w:rsid w:val="61BC0067"/>
    <w:rsid w:val="61E97C32"/>
    <w:rsid w:val="61FF7712"/>
    <w:rsid w:val="6206395E"/>
    <w:rsid w:val="62693D0F"/>
    <w:rsid w:val="627707E5"/>
    <w:rsid w:val="631375D9"/>
    <w:rsid w:val="63515EFF"/>
    <w:rsid w:val="636C4111"/>
    <w:rsid w:val="638379D3"/>
    <w:rsid w:val="63D42C55"/>
    <w:rsid w:val="63DA603B"/>
    <w:rsid w:val="63DE712E"/>
    <w:rsid w:val="642D04CF"/>
    <w:rsid w:val="6438235C"/>
    <w:rsid w:val="643B071F"/>
    <w:rsid w:val="64562D59"/>
    <w:rsid w:val="646D5299"/>
    <w:rsid w:val="648B3AFA"/>
    <w:rsid w:val="64BB3947"/>
    <w:rsid w:val="64CC2606"/>
    <w:rsid w:val="64EB0C61"/>
    <w:rsid w:val="6520282C"/>
    <w:rsid w:val="654129B1"/>
    <w:rsid w:val="65680A32"/>
    <w:rsid w:val="659E0FC7"/>
    <w:rsid w:val="65A6011A"/>
    <w:rsid w:val="65C37A21"/>
    <w:rsid w:val="66111E7B"/>
    <w:rsid w:val="662C6E52"/>
    <w:rsid w:val="66413B1E"/>
    <w:rsid w:val="665248B2"/>
    <w:rsid w:val="668E4D7C"/>
    <w:rsid w:val="66923339"/>
    <w:rsid w:val="669B2BD8"/>
    <w:rsid w:val="66A02FE8"/>
    <w:rsid w:val="66A82F20"/>
    <w:rsid w:val="66AC3D37"/>
    <w:rsid w:val="66C23916"/>
    <w:rsid w:val="66F72914"/>
    <w:rsid w:val="670E46A1"/>
    <w:rsid w:val="67111F26"/>
    <w:rsid w:val="67223341"/>
    <w:rsid w:val="672E2087"/>
    <w:rsid w:val="67332E10"/>
    <w:rsid w:val="675F7B64"/>
    <w:rsid w:val="67A8192A"/>
    <w:rsid w:val="67CD37DA"/>
    <w:rsid w:val="67FF35A1"/>
    <w:rsid w:val="680C4DB4"/>
    <w:rsid w:val="682057E3"/>
    <w:rsid w:val="68236767"/>
    <w:rsid w:val="682A5F67"/>
    <w:rsid w:val="68332285"/>
    <w:rsid w:val="686007CB"/>
    <w:rsid w:val="68CF31CA"/>
    <w:rsid w:val="69263D77"/>
    <w:rsid w:val="693E7BA5"/>
    <w:rsid w:val="6942333C"/>
    <w:rsid w:val="69AA7DD7"/>
    <w:rsid w:val="69BD5DE5"/>
    <w:rsid w:val="69CC1A0F"/>
    <w:rsid w:val="69CF4718"/>
    <w:rsid w:val="69FB76D1"/>
    <w:rsid w:val="6A4576E6"/>
    <w:rsid w:val="6AC80E4E"/>
    <w:rsid w:val="6AE128A1"/>
    <w:rsid w:val="6B115075"/>
    <w:rsid w:val="6B514828"/>
    <w:rsid w:val="6B730E18"/>
    <w:rsid w:val="6BAB2FDB"/>
    <w:rsid w:val="6BB80CFD"/>
    <w:rsid w:val="6BBD3AC9"/>
    <w:rsid w:val="6BF81D68"/>
    <w:rsid w:val="6C4549FE"/>
    <w:rsid w:val="6C7E2CAC"/>
    <w:rsid w:val="6D100E7E"/>
    <w:rsid w:val="6D393568"/>
    <w:rsid w:val="6D7E34E1"/>
    <w:rsid w:val="6D8952C5"/>
    <w:rsid w:val="6DBB5DAB"/>
    <w:rsid w:val="6DC158E9"/>
    <w:rsid w:val="6DDE27D0"/>
    <w:rsid w:val="6E11598F"/>
    <w:rsid w:val="6E512686"/>
    <w:rsid w:val="6EB45CAC"/>
    <w:rsid w:val="6EBA2157"/>
    <w:rsid w:val="6EF264F5"/>
    <w:rsid w:val="6EFB5292"/>
    <w:rsid w:val="6F252AE8"/>
    <w:rsid w:val="6F557948"/>
    <w:rsid w:val="6F842B01"/>
    <w:rsid w:val="6FA84C02"/>
    <w:rsid w:val="6FB92D17"/>
    <w:rsid w:val="6FBA17E0"/>
    <w:rsid w:val="6FC6486F"/>
    <w:rsid w:val="6FEF5D43"/>
    <w:rsid w:val="70466442"/>
    <w:rsid w:val="70B26906"/>
    <w:rsid w:val="70B86135"/>
    <w:rsid w:val="70DC664A"/>
    <w:rsid w:val="70E07F91"/>
    <w:rsid w:val="710B2556"/>
    <w:rsid w:val="71450563"/>
    <w:rsid w:val="71477F3F"/>
    <w:rsid w:val="71A6339A"/>
    <w:rsid w:val="71B04390"/>
    <w:rsid w:val="71D618B8"/>
    <w:rsid w:val="71F44BD8"/>
    <w:rsid w:val="71F475E4"/>
    <w:rsid w:val="72326BCA"/>
    <w:rsid w:val="72346E7C"/>
    <w:rsid w:val="725B5B2D"/>
    <w:rsid w:val="72CE125F"/>
    <w:rsid w:val="72DD57E9"/>
    <w:rsid w:val="73251A0B"/>
    <w:rsid w:val="732B52E4"/>
    <w:rsid w:val="73414491"/>
    <w:rsid w:val="734B59FF"/>
    <w:rsid w:val="73B43859"/>
    <w:rsid w:val="73C5083C"/>
    <w:rsid w:val="73CE5CED"/>
    <w:rsid w:val="741412BA"/>
    <w:rsid w:val="741B228B"/>
    <w:rsid w:val="74221BDF"/>
    <w:rsid w:val="7423420D"/>
    <w:rsid w:val="74406B6D"/>
    <w:rsid w:val="748154B2"/>
    <w:rsid w:val="749F4A62"/>
    <w:rsid w:val="7519692A"/>
    <w:rsid w:val="75664E30"/>
    <w:rsid w:val="75A122AA"/>
    <w:rsid w:val="75E459F0"/>
    <w:rsid w:val="762D444F"/>
    <w:rsid w:val="763036A8"/>
    <w:rsid w:val="76475436"/>
    <w:rsid w:val="7672264B"/>
    <w:rsid w:val="76D31DEB"/>
    <w:rsid w:val="771375E4"/>
    <w:rsid w:val="775430E2"/>
    <w:rsid w:val="779415BD"/>
    <w:rsid w:val="77962542"/>
    <w:rsid w:val="77D36B23"/>
    <w:rsid w:val="78B611AB"/>
    <w:rsid w:val="78F10E72"/>
    <w:rsid w:val="793A1DDD"/>
    <w:rsid w:val="79450781"/>
    <w:rsid w:val="796450AB"/>
    <w:rsid w:val="797C75FD"/>
    <w:rsid w:val="79D869EA"/>
    <w:rsid w:val="7A1E2CFA"/>
    <w:rsid w:val="7A4665A8"/>
    <w:rsid w:val="7ABD05BA"/>
    <w:rsid w:val="7AF659C2"/>
    <w:rsid w:val="7B0703E4"/>
    <w:rsid w:val="7B5A49B8"/>
    <w:rsid w:val="7BFC4C19"/>
    <w:rsid w:val="7C001F2C"/>
    <w:rsid w:val="7C1728A9"/>
    <w:rsid w:val="7C75431B"/>
    <w:rsid w:val="7CD73144"/>
    <w:rsid w:val="7D22208B"/>
    <w:rsid w:val="7D9C42EE"/>
    <w:rsid w:val="7DD84A4E"/>
    <w:rsid w:val="7DDF16F3"/>
    <w:rsid w:val="7DE208F8"/>
    <w:rsid w:val="7DF54524"/>
    <w:rsid w:val="7E132BFC"/>
    <w:rsid w:val="7EE06CB6"/>
    <w:rsid w:val="7EF849CF"/>
    <w:rsid w:val="7F4378C6"/>
    <w:rsid w:val="7F463457"/>
    <w:rsid w:val="7F4C5EB9"/>
    <w:rsid w:val="7F5D2632"/>
    <w:rsid w:val="7F9C4E6B"/>
    <w:rsid w:val="7FCB5E8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qFormat="1" w:unhideWhenUsed="0" w:uiPriority="0"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1"/>
    <w:pPr>
      <w:spacing w:before="203"/>
      <w:ind w:left="817"/>
      <w:outlineLvl w:val="1"/>
    </w:pPr>
    <w:rPr>
      <w:rFonts w:ascii="宋体" w:hAnsi="宋体" w:eastAsia="宋体" w:cs="宋体"/>
      <w:b/>
      <w:bCs/>
      <w:sz w:val="30"/>
      <w:szCs w:val="30"/>
      <w:lang w:val="zh-CN" w:eastAsia="zh-CN" w:bidi="zh-CN"/>
    </w:rPr>
  </w:style>
  <w:style w:type="paragraph" w:styleId="3">
    <w:name w:val="heading 2"/>
    <w:basedOn w:val="1"/>
    <w:next w:val="1"/>
    <w:autoRedefine/>
    <w:qFormat/>
    <w:uiPriority w:val="1"/>
    <w:pPr>
      <w:spacing w:before="280"/>
      <w:ind w:left="3531" w:right="3510" w:hanging="1"/>
      <w:jc w:val="center"/>
      <w:outlineLvl w:val="2"/>
    </w:pPr>
    <w:rPr>
      <w:rFonts w:ascii="宋体" w:hAnsi="宋体" w:eastAsia="宋体" w:cs="宋体"/>
      <w:sz w:val="28"/>
      <w:szCs w:val="28"/>
      <w:lang w:val="zh-CN" w:eastAsia="zh-CN" w:bidi="zh-CN"/>
    </w:rPr>
  </w:style>
  <w:style w:type="paragraph" w:styleId="4">
    <w:name w:val="heading 3"/>
    <w:basedOn w:val="1"/>
    <w:next w:val="1"/>
    <w:autoRedefine/>
    <w:qFormat/>
    <w:uiPriority w:val="1"/>
    <w:pPr>
      <w:spacing w:before="127"/>
      <w:ind w:left="1298" w:hanging="602"/>
      <w:outlineLvl w:val="3"/>
    </w:pPr>
    <w:rPr>
      <w:rFonts w:ascii="宋体" w:hAnsi="宋体" w:eastAsia="宋体" w:cs="宋体"/>
      <w:b/>
      <w:bCs/>
      <w:sz w:val="24"/>
      <w:szCs w:val="24"/>
      <w:lang w:val="zh-CN" w:eastAsia="zh-CN" w:bidi="zh-CN"/>
    </w:rPr>
  </w:style>
  <w:style w:type="paragraph" w:styleId="5">
    <w:name w:val="heading 4"/>
    <w:basedOn w:val="1"/>
    <w:next w:val="1"/>
    <w:autoRedefine/>
    <w:qFormat/>
    <w:uiPriority w:val="99"/>
    <w:pPr>
      <w:spacing w:before="156" w:beforeLines="50" w:after="156"/>
      <w:ind w:left="264" w:leftChars="110" w:right="240"/>
      <w:outlineLvl w:val="3"/>
    </w:pPr>
    <w:rPr>
      <w:rFonts w:cs="Times New Roman"/>
      <w:color w:val="000000"/>
      <w:sz w:val="21"/>
      <w:szCs w:val="28"/>
      <w:lang w:bidi="en-US"/>
    </w:rPr>
  </w:style>
  <w:style w:type="character" w:default="1" w:styleId="18">
    <w:name w:val="Default Paragraph Font"/>
    <w:autoRedefine/>
    <w:semiHidden/>
    <w:unhideWhenUsed/>
    <w:qFormat/>
    <w:uiPriority w:val="1"/>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6">
    <w:name w:val="Normal Indent"/>
    <w:basedOn w:val="1"/>
    <w:autoRedefine/>
    <w:qFormat/>
    <w:uiPriority w:val="0"/>
    <w:pPr>
      <w:spacing w:before="0" w:after="0" w:afterLines="0"/>
      <w:ind w:left="100" w:leftChars="100" w:right="100" w:rightChars="100"/>
      <w:jc w:val="left"/>
    </w:pPr>
    <w:rPr>
      <w:rFonts w:ascii="仿宋_GB2312" w:hAnsi="Times New Roman" w:eastAsia="仿宋_GB2312"/>
      <w:sz w:val="28"/>
      <w:szCs w:val="24"/>
    </w:rPr>
  </w:style>
  <w:style w:type="paragraph" w:styleId="7">
    <w:name w:val="Body Text"/>
    <w:basedOn w:val="1"/>
    <w:autoRedefine/>
    <w:qFormat/>
    <w:uiPriority w:val="1"/>
    <w:rPr>
      <w:rFonts w:ascii="宋体" w:hAnsi="宋体" w:eastAsia="宋体" w:cs="宋体"/>
      <w:sz w:val="24"/>
      <w:szCs w:val="24"/>
      <w:lang w:val="zh-CN" w:eastAsia="zh-CN" w:bidi="zh-CN"/>
    </w:rPr>
  </w:style>
  <w:style w:type="paragraph" w:styleId="8">
    <w:name w:val="toc 5"/>
    <w:basedOn w:val="1"/>
    <w:next w:val="1"/>
    <w:autoRedefine/>
    <w:qFormat/>
    <w:uiPriority w:val="39"/>
    <w:pPr>
      <w:spacing w:before="0" w:after="0" w:afterLines="0"/>
      <w:ind w:left="960" w:leftChars="100" w:right="100" w:rightChars="100" w:firstLine="200"/>
      <w:jc w:val="left"/>
    </w:pPr>
    <w:rPr>
      <w:rFonts w:ascii="Calibri" w:hAnsi="Calibri" w:cs="Calibri"/>
      <w:sz w:val="20"/>
      <w:szCs w:val="20"/>
    </w:rPr>
  </w:style>
  <w:style w:type="paragraph" w:styleId="9">
    <w:name w:val="footer"/>
    <w:basedOn w:val="1"/>
    <w:autoRedefine/>
    <w:qFormat/>
    <w:uiPriority w:val="0"/>
    <w:pPr>
      <w:tabs>
        <w:tab w:val="center" w:pos="4153"/>
        <w:tab w:val="right" w:pos="8306"/>
      </w:tabs>
      <w:snapToGrid w:val="0"/>
      <w:jc w:val="left"/>
    </w:pPr>
    <w:rPr>
      <w:sz w:val="18"/>
    </w:rPr>
  </w:style>
  <w:style w:type="paragraph" w:styleId="1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autoRedefine/>
    <w:qFormat/>
    <w:uiPriority w:val="1"/>
    <w:pPr>
      <w:spacing w:before="261"/>
      <w:ind w:right="755"/>
      <w:jc w:val="right"/>
    </w:pPr>
    <w:rPr>
      <w:rFonts w:ascii="宋体" w:hAnsi="宋体" w:eastAsia="宋体" w:cs="宋体"/>
      <w:sz w:val="24"/>
      <w:szCs w:val="24"/>
      <w:lang w:val="zh-CN" w:eastAsia="zh-CN" w:bidi="zh-CN"/>
    </w:rPr>
  </w:style>
  <w:style w:type="paragraph" w:styleId="12">
    <w:name w:val="List"/>
    <w:basedOn w:val="1"/>
    <w:autoRedefine/>
    <w:qFormat/>
    <w:uiPriority w:val="99"/>
    <w:pPr>
      <w:spacing w:before="0" w:beforeLines="50" w:after="0" w:afterLines="0"/>
      <w:ind w:left="200" w:right="100" w:rightChars="100" w:hanging="200" w:hangingChars="200"/>
    </w:pPr>
    <w:rPr>
      <w:rFonts w:ascii="Times New Roman" w:hAnsi="Times New Roman"/>
      <w:szCs w:val="22"/>
    </w:rPr>
  </w:style>
  <w:style w:type="paragraph" w:styleId="13">
    <w:name w:val="toc 2"/>
    <w:basedOn w:val="1"/>
    <w:next w:val="1"/>
    <w:autoRedefine/>
    <w:qFormat/>
    <w:uiPriority w:val="0"/>
    <w:pPr>
      <w:ind w:left="420" w:leftChars="200"/>
    </w:pPr>
  </w:style>
  <w:style w:type="paragraph" w:styleId="1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5">
    <w:name w:val="Body Text First Indent"/>
    <w:basedOn w:val="7"/>
    <w:autoRedefine/>
    <w:qFormat/>
    <w:uiPriority w:val="0"/>
    <w:pPr>
      <w:ind w:firstLine="420" w:firstLineChars="100"/>
    </w:p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Emphasis"/>
    <w:basedOn w:val="18"/>
    <w:qFormat/>
    <w:uiPriority w:val="0"/>
    <w:rPr>
      <w:i/>
    </w:rPr>
  </w:style>
  <w:style w:type="table" w:customStyle="1" w:styleId="20">
    <w:name w:val="Table Normal"/>
    <w:autoRedefine/>
    <w:semiHidden/>
    <w:unhideWhenUsed/>
    <w:qFormat/>
    <w:uiPriority w:val="2"/>
    <w:tblPr>
      <w:tblCellMar>
        <w:top w:w="0" w:type="dxa"/>
        <w:left w:w="0" w:type="dxa"/>
        <w:bottom w:w="0" w:type="dxa"/>
        <w:right w:w="0" w:type="dxa"/>
      </w:tblCellMar>
    </w:tblPr>
  </w:style>
  <w:style w:type="paragraph" w:styleId="21">
    <w:name w:val="List Paragraph"/>
    <w:basedOn w:val="1"/>
    <w:autoRedefine/>
    <w:qFormat/>
    <w:uiPriority w:val="1"/>
    <w:pPr>
      <w:spacing w:before="161"/>
      <w:ind w:left="1477" w:hanging="301"/>
    </w:pPr>
    <w:rPr>
      <w:rFonts w:ascii="宋体" w:hAnsi="宋体" w:eastAsia="宋体" w:cs="宋体"/>
      <w:lang w:val="zh-CN" w:eastAsia="zh-CN" w:bidi="zh-CN"/>
    </w:rPr>
  </w:style>
  <w:style w:type="paragraph" w:customStyle="1" w:styleId="22">
    <w:name w:val="Table Paragraph"/>
    <w:basedOn w:val="1"/>
    <w:autoRedefine/>
    <w:qFormat/>
    <w:uiPriority w:val="1"/>
    <w:pPr>
      <w:ind w:left="1132"/>
      <w:jc w:val="center"/>
    </w:pPr>
    <w:rPr>
      <w:rFonts w:ascii="宋体" w:hAnsi="宋体" w:eastAsia="宋体" w:cs="宋体"/>
      <w:lang w:val="zh-CN" w:eastAsia="zh-CN" w:bidi="zh-CN"/>
    </w:rPr>
  </w:style>
  <w:style w:type="paragraph" w:customStyle="1" w:styleId="23">
    <w:name w:val="WPSOffice手动目录 1"/>
    <w:autoRedefine/>
    <w:qFormat/>
    <w:uiPriority w:val="0"/>
    <w:pPr>
      <w:ind w:leftChars="0"/>
    </w:pPr>
    <w:rPr>
      <w:rFonts w:asciiTheme="minorHAnsi" w:hAnsiTheme="minorHAnsi" w:eastAsiaTheme="minorHAnsi" w:cstheme="minorBidi"/>
      <w:sz w:val="20"/>
      <w:szCs w:val="20"/>
    </w:rPr>
  </w:style>
  <w:style w:type="paragraph" w:customStyle="1" w:styleId="24">
    <w:name w:val="WPSOffice手动目录 2"/>
    <w:autoRedefine/>
    <w:qFormat/>
    <w:uiPriority w:val="0"/>
    <w:pPr>
      <w:ind w:leftChars="200"/>
    </w:pPr>
    <w:rPr>
      <w:rFonts w:asciiTheme="minorHAnsi" w:hAnsiTheme="minorHAnsi" w:eastAsiaTheme="minorHAnsi" w:cstheme="minorBidi"/>
      <w:sz w:val="20"/>
      <w:szCs w:val="20"/>
    </w:rPr>
  </w:style>
  <w:style w:type="paragraph" w:customStyle="1" w:styleId="25">
    <w:name w:val="WPSOffice手动目录 3"/>
    <w:autoRedefine/>
    <w:qFormat/>
    <w:uiPriority w:val="0"/>
    <w:pPr>
      <w:ind w:leftChars="400"/>
    </w:pPr>
    <w:rPr>
      <w:rFonts w:asciiTheme="minorHAnsi" w:hAnsiTheme="minorHAnsi" w:eastAsiaTheme="minorHAnsi" w:cstheme="minorBidi"/>
      <w:sz w:val="20"/>
      <w:szCs w:val="20"/>
    </w:rPr>
  </w:style>
  <w:style w:type="paragraph" w:customStyle="1" w:styleId="26">
    <w:name w:val="一级"/>
    <w:basedOn w:val="1"/>
    <w:autoRedefine/>
    <w:qFormat/>
    <w:uiPriority w:val="0"/>
    <w:pPr>
      <w:spacing w:line="480" w:lineRule="auto"/>
      <w:outlineLvl w:val="0"/>
    </w:pPr>
    <w:rPr>
      <w:rFonts w:ascii="Calibri" w:hAnsi="Calibri"/>
      <w:b/>
      <w:sz w:val="36"/>
      <w:szCs w:val="32"/>
    </w:rPr>
  </w:style>
  <w:style w:type="paragraph" w:customStyle="1" w:styleId="27">
    <w:name w:val="二级"/>
    <w:basedOn w:val="1"/>
    <w:autoRedefine/>
    <w:qFormat/>
    <w:uiPriority w:val="0"/>
    <w:pPr>
      <w:spacing w:line="360" w:lineRule="auto"/>
      <w:outlineLvl w:val="1"/>
    </w:pPr>
    <w:rPr>
      <w:b/>
      <w:kern w:val="0"/>
      <w:sz w:val="30"/>
      <w:szCs w:val="28"/>
    </w:rPr>
  </w:style>
  <w:style w:type="paragraph" w:customStyle="1" w:styleId="28">
    <w:name w:val="文本"/>
    <w:basedOn w:val="1"/>
    <w:autoRedefine/>
    <w:qFormat/>
    <w:uiPriority w:val="0"/>
    <w:pPr>
      <w:spacing w:line="360" w:lineRule="auto"/>
      <w:ind w:firstLine="200" w:firstLineChars="200"/>
    </w:pPr>
    <w:rPr>
      <w:kern w:val="0"/>
      <w:sz w:val="24"/>
    </w:rPr>
  </w:style>
  <w:style w:type="paragraph" w:customStyle="1" w:styleId="29">
    <w:name w:val="表"/>
    <w:basedOn w:val="1"/>
    <w:autoRedefine/>
    <w:qFormat/>
    <w:uiPriority w:val="0"/>
    <w:pPr>
      <w:widowControl/>
      <w:spacing w:before="0" w:after="0" w:afterLines="0" w:line="300" w:lineRule="exact"/>
      <w:ind w:firstLine="0" w:firstLineChars="0"/>
      <w:jc w:val="center"/>
    </w:pPr>
    <w:rPr>
      <w:rFonts w:cs="宋体"/>
      <w:color w:val="000000"/>
      <w:kern w:val="0"/>
      <w:szCs w:val="24"/>
    </w:rPr>
  </w:style>
  <w:style w:type="paragraph" w:customStyle="1" w:styleId="30">
    <w:name w:val="表格"/>
    <w:basedOn w:val="12"/>
    <w:autoRedefine/>
    <w:qFormat/>
    <w:uiPriority w:val="99"/>
    <w:pPr>
      <w:spacing w:beforeLines="0" w:line="240" w:lineRule="auto"/>
      <w:ind w:left="0" w:firstLine="0" w:firstLineChars="0"/>
      <w:jc w:val="center"/>
    </w:pPr>
    <w:rPr>
      <w:rFonts w:ascii="宋体" w:hAnsi="宋体"/>
      <w:kern w:val="0"/>
      <w:sz w:val="18"/>
      <w:szCs w:val="20"/>
    </w:rPr>
  </w:style>
  <w:style w:type="character" w:customStyle="1" w:styleId="31">
    <w:name w:val="font11"/>
    <w:basedOn w:val="18"/>
    <w:autoRedefine/>
    <w:qFormat/>
    <w:uiPriority w:val="0"/>
    <w:rPr>
      <w:rFonts w:hint="eastAsia" w:ascii="宋体" w:hAnsi="宋体" w:eastAsia="宋体" w:cs="宋体"/>
      <w:color w:val="000000"/>
      <w:sz w:val="21"/>
      <w:szCs w:val="21"/>
      <w:u w:val="none"/>
    </w:rPr>
  </w:style>
  <w:style w:type="character" w:customStyle="1" w:styleId="32">
    <w:name w:val="font21"/>
    <w:basedOn w:val="18"/>
    <w:qFormat/>
    <w:uiPriority w:val="0"/>
    <w:rPr>
      <w:rFonts w:hint="eastAsia" w:ascii="宋体" w:hAnsi="宋体" w:eastAsia="宋体" w:cs="宋体"/>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9121</Words>
  <Characters>9622</Characters>
  <TotalTime>490</TotalTime>
  <ScaleCrop>false</ScaleCrop>
  <LinksUpToDate>false</LinksUpToDate>
  <CharactersWithSpaces>9809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2023-01-05T03:49:00Z</dcterms:created>
  <dc:creator>陈志康</dc:creator>
  <cp:lastModifiedBy>Chang-J</cp:lastModifiedBy>
  <cp:lastPrinted>2025-09-05T08:11:00Z</cp:lastPrinted>
  <dcterms:modified xsi:type="dcterms:W3CDTF">2025-09-08T09:51:21Z</dcterms:modified>
  <dc:title>第一章  总则</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2022-12-15T00:00:00Z</vt:filetime>
  </property>
  <property fmtid="{D5CDD505-2E9C-101B-9397-08002B2CF9AE}" pid="3" name="Creator">
    <vt:lpwstr>WPS 文字</vt:lpwstr>
  </property>
  <property fmtid="{D5CDD505-2E9C-101B-9397-08002B2CF9AE}" pid="4" name="LastSaved">
    <vt:filetime>2023-01-05T00:00:00Z</vt:filetime>
  </property>
  <property fmtid="{D5CDD505-2E9C-101B-9397-08002B2CF9AE}" pid="5" name="KSOProductBuildVer">
    <vt:lpwstr>2052-12.1.0.22529</vt:lpwstr>
  </property>
  <property fmtid="{D5CDD505-2E9C-101B-9397-08002B2CF9AE}" pid="6" name="ICV">
    <vt:lpwstr>493EA8493BA7498D923EF2B42B2614F8_13</vt:lpwstr>
  </property>
  <property fmtid="{D5CDD505-2E9C-101B-9397-08002B2CF9AE}" pid="7" name="KSOTemplateDocerSaveRecord">
    <vt:lpwstr>eyJoZGlkIjoiNmUzZTdlZDkzZTE1YjNlZjJjNDdhZTFmNWM5NmZjZTEiLCJ1c2VySWQiOiI1MTUwMDc1NzcifQ==</vt:lpwstr>
  </property>
</Properties>
</file>