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阳山县乡镇污水处理费收费标准方案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家相关政策，规范本县乡镇污水处理收费行为，保障污水处理设施运行、维护和建设，保护水环境，根据《广东省定价目录（2022年版）》（粤府办〔2022〕5号）《污水处理费征收使用管理的实施细则》（粤建规范〔2024〕2号）等规定，结合本县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阳山县村镇污水处理项目建设期2年，特许经营期28年，总投资估算46638万元，已完成如下建设内容 ：（一）县城（城南片区）配套污水管网6.6km；（二）14座乡镇镇级污水处理厂（总设计能力1.03万吨/日）及其配套管网48.3km；（三）县域内69座农村生活污水处理设施。2021年1月，14座乡镇镇级污水处理厂（分布在12个乡镇）全面投入运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二、拟制定的收费标准及相关事项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（一）征收对象及范围。</w:t>
      </w:r>
      <w:r>
        <w:rPr>
          <w:rFonts w:hint="eastAsia" w:ascii="仿宋_GB2312" w:hAnsi="仿宋_GB2312" w:eastAsia="仿宋_GB2312" w:cs="仿宋_GB2312"/>
          <w:sz w:val="32"/>
          <w:szCs w:val="32"/>
          <w:lang w:val="en-US" w:eastAsia="zh-CN"/>
        </w:rPr>
        <w:t>在本县乡镇镇级污水处理厂服务区域内，向排水与污水处理设施排放污水、废水的单位和个人（下称“缴纳义务人”），应当缴纳污水处理费。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（二）征收部门。</w:t>
      </w:r>
      <w:r>
        <w:rPr>
          <w:rFonts w:hint="eastAsia" w:ascii="仿宋_GB2312" w:hAnsi="仿宋_GB2312" w:eastAsia="仿宋_GB2312" w:cs="仿宋_GB2312"/>
          <w:sz w:val="32"/>
          <w:szCs w:val="32"/>
          <w:lang w:val="en-US" w:eastAsia="zh-CN"/>
        </w:rPr>
        <w:t>污水处理费由县城镇排水主管部门负责征收，也可委托污水处理企业、公共供水企业或其他有关部门代征。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（三）收费标准。</w:t>
      </w:r>
      <w:r>
        <w:rPr>
          <w:rFonts w:hint="eastAsia" w:ascii="仿宋_GB2312" w:hAnsi="仿宋_GB2312" w:eastAsia="仿宋_GB2312" w:cs="仿宋_GB2312"/>
          <w:sz w:val="32"/>
          <w:szCs w:val="32"/>
          <w:lang w:val="en-US" w:eastAsia="zh-CN"/>
        </w:rPr>
        <w:t>因本县乡镇区域</w:t>
      </w:r>
      <w:r>
        <w:rPr>
          <w:rFonts w:hint="eastAsia" w:ascii="仿宋_GB2312" w:hAnsi="仿宋_GB2312" w:eastAsia="仿宋_GB2312" w:cs="仿宋_GB2312"/>
          <w:sz w:val="32"/>
          <w:szCs w:val="32"/>
          <w:lang w:eastAsia="zh-CN"/>
        </w:rPr>
        <w:t>尚未开征污水处理费，本次属首次定价。</w:t>
      </w:r>
      <w:r>
        <w:rPr>
          <w:rFonts w:hint="eastAsia" w:ascii="仿宋_GB2312" w:hAnsi="仿宋_GB2312" w:eastAsia="仿宋_GB2312" w:cs="仿宋_GB2312"/>
          <w:sz w:val="32"/>
          <w:szCs w:val="32"/>
          <w:lang w:val="en-US" w:eastAsia="zh-CN"/>
        </w:rPr>
        <w:t>在成本监审的基础上，综合考虑本县财力、水污染防治形势、经济发展水平和社会承受能力等因素，拟定我县乡镇污水处理费收费标准如下：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居民每立方米0.85元，非居民每立方米1.20元。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按照缴纳义务人用水分类采用相应污水处理类别收费标准，即属</w:t>
      </w:r>
      <w:r>
        <w:rPr>
          <w:rFonts w:hint="eastAsia" w:ascii="仿宋_GB2312" w:hAnsi="仿宋_GB2312" w:eastAsia="仿宋_GB2312" w:cs="仿宋_GB2312"/>
          <w:sz w:val="32"/>
          <w:szCs w:val="32"/>
        </w:rPr>
        <w:t>居民生活用水</w:t>
      </w:r>
      <w:r>
        <w:rPr>
          <w:rFonts w:hint="eastAsia" w:ascii="仿宋_GB2312" w:hAnsi="仿宋_GB2312" w:eastAsia="仿宋_GB2312" w:cs="仿宋_GB2312"/>
          <w:sz w:val="32"/>
          <w:szCs w:val="32"/>
          <w:lang w:eastAsia="zh-CN"/>
        </w:rPr>
        <w:t>类别（含</w:t>
      </w:r>
      <w:r>
        <w:rPr>
          <w:rFonts w:hint="eastAsia" w:ascii="仿宋_GB2312" w:hAnsi="仿宋_GB2312" w:eastAsia="仿宋_GB2312" w:cs="仿宋_GB2312"/>
          <w:sz w:val="32"/>
          <w:szCs w:val="32"/>
        </w:rPr>
        <w:t>执行居民生活用水价格的非居民用户</w:t>
      </w:r>
      <w:r>
        <w:rPr>
          <w:rFonts w:hint="eastAsia" w:ascii="仿宋_GB2312" w:hAnsi="仿宋_GB2312" w:eastAsia="仿宋_GB2312" w:cs="仿宋_GB2312"/>
          <w:sz w:val="32"/>
          <w:szCs w:val="32"/>
          <w:lang w:eastAsia="zh-CN"/>
        </w:rPr>
        <w:t>）的按居民收费标准征收；除</w:t>
      </w:r>
      <w:r>
        <w:rPr>
          <w:rFonts w:hint="eastAsia" w:ascii="仿宋_GB2312" w:hAnsi="仿宋_GB2312" w:eastAsia="仿宋_GB2312" w:cs="仿宋_GB2312"/>
          <w:sz w:val="32"/>
          <w:szCs w:val="32"/>
        </w:rPr>
        <w:t>居民生活用水</w:t>
      </w:r>
      <w:r>
        <w:rPr>
          <w:rFonts w:hint="eastAsia" w:ascii="仿宋_GB2312" w:hAnsi="仿宋_GB2312" w:eastAsia="仿宋_GB2312" w:cs="仿宋_GB2312"/>
          <w:sz w:val="32"/>
          <w:szCs w:val="32"/>
          <w:lang w:eastAsia="zh-CN"/>
        </w:rPr>
        <w:t>类别之外的其他用水类别（包括非居民用水和特种用水类别）按</w:t>
      </w:r>
      <w:r>
        <w:rPr>
          <w:rFonts w:hint="eastAsia" w:ascii="仿宋_GB2312" w:hAnsi="仿宋_GB2312" w:eastAsia="仿宋_GB2312" w:cs="仿宋_GB2312"/>
          <w:sz w:val="32"/>
          <w:szCs w:val="32"/>
          <w:lang w:val="en-US" w:eastAsia="zh-CN"/>
        </w:rPr>
        <w:t>非居民标准征收(具体用水分类详见附件2）。</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（四）征收方式。</w:t>
      </w:r>
      <w:r>
        <w:rPr>
          <w:rFonts w:hint="eastAsia" w:ascii="仿宋_GB2312" w:hAnsi="仿宋_GB2312" w:eastAsia="仿宋_GB2312" w:cs="仿宋_GB2312"/>
          <w:sz w:val="32"/>
          <w:szCs w:val="32"/>
          <w:lang w:val="en-US" w:eastAsia="zh-CN"/>
        </w:rPr>
        <w:t>污水处理费根据缴纳义务人用水量按月计征。用水量按下列方式核定：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1.使用公共供水的单位和个人，其用水量以水表显示的量值为准。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2.使用自备水源的单位和个人已安装计量设备的，其用水量以计量设备显示的量值为准；未安装计量设备或者计量设备不能正常使用的，其用水量按取水设施额定流量每日运转24小时计算。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（五）相关要求。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1.严格规范征收，落实保障措施。根据《污水处理费征收使用管理的实施细则》（粤建规范〔2024〕2号）、《转发国家发展改革委 财政部 住房城乡建设部关于制定和调整污水处理收费标准等有关问题的通知》（粤发改价格〔2015〕770号）等规定，严禁对企业违规减免或者缓征污水处理费，不得擅自对任何单位或个人进行减免。同时，要切实做好低收入群体保障，确保其基本生活水平不因开征污水处理费而降低。做好低收入群体保障的具体工作由县财政局会同县民政局结合本县实际组织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2.做好信息公开工作。县城镇排水主管部门应当将污水处理费的征收依据、征收主体、征收标准、征收程序、法律责任等进行公示。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三、成本监审结论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根据《政府制定价格成本监审办法》等规定，县发展改革局对阳山粤海环保有限公司2021-2023年的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lang w:val="en-US" w:eastAsia="zh-CN"/>
        </w:rPr>
        <w:t>污水处理成本依法</w:t>
      </w:r>
      <w:r>
        <w:rPr>
          <w:rFonts w:hint="eastAsia" w:ascii="仿宋_GB2312" w:hAnsi="仿宋_GB2312" w:eastAsia="仿宋_GB2312" w:cs="仿宋_GB2312"/>
          <w:sz w:val="32"/>
          <w:szCs w:val="32"/>
          <w:lang w:eastAsia="zh-CN"/>
        </w:rPr>
        <w:t>实施了成本监审</w:t>
      </w:r>
      <w:r>
        <w:rPr>
          <w:rFonts w:hint="eastAsia" w:ascii="仿宋_GB2312" w:hAnsi="仿宋_GB2312" w:eastAsia="仿宋_GB2312" w:cs="仿宋_GB2312"/>
          <w:sz w:val="32"/>
          <w:szCs w:val="32"/>
          <w:lang w:val="en-US" w:eastAsia="zh-CN"/>
        </w:rPr>
        <w:t>，形成了《</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阳山</w:t>
      </w:r>
      <w:r>
        <w:rPr>
          <w:rFonts w:hint="eastAsia" w:ascii="仿宋_GB2312" w:hAnsi="仿宋_GB2312" w:eastAsia="仿宋_GB2312" w:cs="仿宋_GB2312"/>
          <w:sz w:val="32"/>
          <w:szCs w:val="32"/>
          <w:lang w:val="en-US" w:eastAsia="zh-CN"/>
        </w:rPr>
        <w:t>粤海环保有限公司乡镇污水处理成本的</w:t>
      </w:r>
      <w:r>
        <w:rPr>
          <w:rFonts w:hint="eastAsia" w:ascii="仿宋_GB2312" w:hAnsi="仿宋_GB2312" w:eastAsia="仿宋_GB2312" w:cs="仿宋_GB2312"/>
          <w:sz w:val="32"/>
          <w:szCs w:val="32"/>
        </w:rPr>
        <w:t>成本</w:t>
      </w:r>
      <w:r>
        <w:rPr>
          <w:rFonts w:hint="eastAsia" w:ascii="仿宋_GB2312" w:hAnsi="仿宋_GB2312" w:eastAsia="仿宋_GB2312" w:cs="仿宋_GB2312"/>
          <w:sz w:val="32"/>
          <w:szCs w:val="32"/>
          <w:lang w:val="en-US" w:eastAsia="zh-CN"/>
        </w:rPr>
        <w:t>监审</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》。核定</w:t>
      </w:r>
      <w:r>
        <w:rPr>
          <w:rFonts w:hint="eastAsia" w:ascii="仿宋_GB2312" w:hAnsi="仿宋_GB2312" w:eastAsia="仿宋_GB2312" w:cs="仿宋_GB2312"/>
          <w:sz w:val="32"/>
          <w:szCs w:val="32"/>
          <w:lang w:val="en-US" w:eastAsia="zh-CN"/>
        </w:rPr>
        <w:t>阳山粤海环保有限公司</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lang w:val="en-US" w:eastAsia="zh-CN"/>
        </w:rPr>
        <w:t>污水处理</w:t>
      </w:r>
      <w:r>
        <w:rPr>
          <w:rFonts w:hint="eastAsia" w:ascii="仿宋_GB2312" w:hAnsi="仿宋_GB2312" w:eastAsia="仿宋_GB2312" w:cs="仿宋_GB2312"/>
          <w:sz w:val="32"/>
          <w:szCs w:val="32"/>
        </w:rPr>
        <w:t>单位定价成本为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具体见下表：</w:t>
      </w:r>
    </w:p>
    <w:p>
      <w:pPr>
        <w:jc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乡镇污水处理定价成本核定表</w:t>
      </w:r>
    </w:p>
    <w:tbl>
      <w:tblPr>
        <w:tblStyle w:val="6"/>
        <w:tblW w:w="8220" w:type="dxa"/>
        <w:tblInd w:w="3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15"/>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核定数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一、营运情况</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（一）设计年污水处理量（万吨）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357.4100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（二）实际年污水处理量（万吨）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122.6258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二、污水处理运营成本（元）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11,560,952.18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（一）生产成本</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9,286,895.21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1、人员费用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1,331,846.62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2、固定资产折旧(生产性)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57,981.21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3、其他</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7,897,067.38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（二）期间费用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2,274,056.97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1、管理费用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2,298,227.50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（1）人员费用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1,176,512.87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（2）固定资产折旧(非生产性)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102,208.76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（3）其他</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1,019,505.87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2、财务费用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-24,170.53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三、污泥处理成本（元）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198,490.06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（一）处理费</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193,937.36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（二）运输费</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（三）处置费</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3,172.87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（四）其他费用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四、污水收集管网折旧及运行维护成本（元）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（一）固定资产折旧费(管网)</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（二）运行维护费</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（三）其他</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五、污水处理总成本(元)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11,759,442.24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政府和社会无偿投资形成的固定资产折旧额（元）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扣除无偿资产折旧额的污水处理总成本（元）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11,759,442.24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六、污水处理单位成本(元/吨)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扣除无偿资产折旧额的污水处理单位成本(元/吨)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snapToGrid/>
          <w:sz w:val="32"/>
          <w:lang w:val="en-US" w:eastAsia="zh-CN"/>
        </w:rPr>
      </w:pPr>
      <w:r>
        <w:rPr>
          <w:rFonts w:hint="eastAsia" w:ascii="黑体" w:hAnsi="黑体" w:eastAsia="黑体"/>
          <w:snapToGrid/>
          <w:sz w:val="32"/>
          <w:lang w:val="en-US" w:eastAsia="zh-CN"/>
        </w:rPr>
        <w:t>四、收费标准执行的时间、期限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本收费方案自2025年 月 日起（即从2025年 月 日起抄见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水量）执行，有效期为5年。本方案未规定的事项，按《污水处理费征收使用管理的实施细则》（粤建规范〔2024〕2号）等上级有关规定执行。</w:t>
      </w:r>
      <w:r>
        <w:rPr>
          <w:rFonts w:hint="eastAsia" w:ascii="仿宋_GB2312" w:hAnsi="仿宋_GB2312" w:eastAsia="仿宋_GB2312" w:cs="仿宋_GB2312"/>
          <w:b w:val="0"/>
          <w:i w:val="0"/>
          <w:snapToGrid/>
          <w:color w:val="000000"/>
          <w:sz w:val="32"/>
          <w:szCs w:val="32"/>
          <w:shd w:val="clear" w:color="auto" w:fill="FFFFFF"/>
          <w:lang w:eastAsia="zh-CN"/>
        </w:rPr>
        <w:t>方案</w:t>
      </w:r>
      <w:r>
        <w:rPr>
          <w:rFonts w:hint="eastAsia" w:ascii="仿宋_GB2312" w:hAnsi="仿宋_GB2312" w:eastAsia="仿宋_GB2312" w:cs="仿宋_GB2312"/>
          <w:b w:val="0"/>
          <w:i w:val="0"/>
          <w:snapToGrid/>
          <w:color w:val="000000"/>
          <w:sz w:val="32"/>
          <w:szCs w:val="32"/>
          <w:shd w:val="clear" w:color="auto" w:fill="FFFFFF"/>
          <w:lang w:val="en-US" w:eastAsia="zh-CN"/>
        </w:rPr>
        <w:t>执</w:t>
      </w:r>
      <w:r>
        <w:rPr>
          <w:rFonts w:hint="eastAsia" w:ascii="仿宋_GB2312" w:hAnsi="仿宋_GB2312" w:eastAsia="仿宋_GB2312" w:cs="仿宋_GB2312"/>
          <w:b w:val="0"/>
          <w:i w:val="0"/>
          <w:snapToGrid/>
          <w:color w:val="000000"/>
          <w:sz w:val="32"/>
          <w:szCs w:val="32"/>
          <w:shd w:val="clear" w:color="auto" w:fill="FFFFFF"/>
          <w:lang w:eastAsia="zh-CN"/>
        </w:rPr>
        <w:t>行期间，</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如上级有新的政策规定则按新规定执行</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附件：1.阳山县已建成的乡镇镇级污水处理厂名单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2.用水分类</w:t>
      </w:r>
    </w:p>
    <w:p/>
    <w:p/>
    <w:p>
      <w:pPr>
        <w:rPr>
          <w:rFonts w:hint="eastAsia" w:eastAsiaTheme="minorEastAsia"/>
          <w:lang w:eastAsia="zh-CN"/>
        </w:rPr>
      </w:pPr>
    </w:p>
    <w:p>
      <w:pPr>
        <w:rPr>
          <w:rFonts w:hint="eastAsia" w:eastAsiaTheme="minorEastAsia"/>
          <w:lang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阳山县已建成的乡镇镇级污水处理厂名单</w:t>
      </w:r>
    </w:p>
    <w:p>
      <w:pPr>
        <w:jc w:val="both"/>
      </w:pPr>
    </w:p>
    <w:tbl>
      <w:tblPr>
        <w:tblStyle w:val="6"/>
        <w:tblW w:w="8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5"/>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污水处理厂名称</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widowControl/>
              <w:spacing w:line="540" w:lineRule="exact"/>
              <w:ind w:right="16" w:rightChars="8" w:firstLine="0" w:firstLineChars="0"/>
              <w:jc w:val="center"/>
              <w:textAlignment w:val="center"/>
              <w:rPr>
                <w:rFonts w:hint="eastAsia" w:ascii="仿宋" w:hAnsi="仿宋" w:eastAsia="仿宋" w:cs="仿宋"/>
                <w:i w:val="0"/>
                <w:iCs w:val="0"/>
                <w:color w:val="000000"/>
                <w:sz w:val="28"/>
                <w:szCs w:val="28"/>
                <w:u w:val="none"/>
              </w:rPr>
            </w:pPr>
            <w:r>
              <w:rPr>
                <w:rFonts w:hint="eastAsia" w:ascii="仿宋_GB2312" w:hAnsi="仿宋_GB2312" w:eastAsia="仿宋_GB2312" w:cs="仿宋_GB2312"/>
                <w:i w:val="0"/>
                <w:iCs w:val="0"/>
                <w:color w:val="000000"/>
                <w:kern w:val="2"/>
                <w:sz w:val="28"/>
                <w:szCs w:val="28"/>
                <w:highlight w:val="none"/>
                <w:u w:val="none"/>
                <w:lang w:val="en-US" w:eastAsia="zh-CN" w:bidi="ar"/>
              </w:rPr>
              <w:t>黎埠镇污水处理厂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黎埠镇隔江村五谷自然村北侧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七拱镇污水处理厂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8"/>
              <w:spacing w:line="540" w:lineRule="exact"/>
              <w:ind w:right="16" w:rightChars="8" w:firstLine="552" w:firstLineChars="20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lang w:val="en-US" w:eastAsia="zh-CN" w:bidi="ar"/>
              </w:rPr>
              <w:t>七拱镇西连村村委附近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江英镇污水处理厂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江英镇下新田自然村西南侧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杜步镇污水处理厂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杜步镇杜步村委会杜步街村小组堤边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秤架瑶族乡污水处理厂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秤架瑶族乡大陂村委会大陂桥头南侧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青莲镇污水处理厂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spacing w:line="540" w:lineRule="exact"/>
              <w:ind w:right="16" w:rightChars="8" w:firstLine="0" w:firstLineChars="0"/>
              <w:jc w:val="center"/>
              <w:textAlignment w:val="center"/>
              <w:rPr>
                <w:rFonts w:hint="eastAsia" w:ascii="仿宋" w:hAnsi="仿宋" w:eastAsia="仿宋" w:cs="仿宋"/>
                <w:i w:val="0"/>
                <w:iCs w:val="0"/>
                <w:color w:val="000000"/>
                <w:sz w:val="28"/>
                <w:szCs w:val="28"/>
                <w:u w:val="none"/>
              </w:rPr>
            </w:pPr>
            <w:r>
              <w:rPr>
                <w:rFonts w:hint="eastAsia" w:ascii="仿宋_GB2312" w:hAnsi="仿宋_GB2312" w:eastAsia="仿宋_GB2312" w:cs="仿宋_GB2312"/>
                <w:i w:val="0"/>
                <w:iCs w:val="0"/>
                <w:color w:val="000000"/>
                <w:kern w:val="2"/>
                <w:sz w:val="28"/>
                <w:szCs w:val="28"/>
                <w:highlight w:val="none"/>
                <w:u w:val="none"/>
                <w:lang w:val="en-US" w:eastAsia="zh-CN" w:bidi="ar"/>
              </w:rPr>
              <w:t>青莲镇青莲行政村大江圩村小组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太平镇污水处理厂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太平镇太平行政村上黎村小组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小江镇污水处理厂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小江镇小江行政村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小江镇石螺村镇级污水处理厂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小江镇石螺村慈航精神病院旁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大崀镇镇级污水处理厂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大崀镇大崀行政村大崀围村小组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岭背镇污水处理厂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岭背镇岭背行政村城控村小组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岭背镇犁头村镇级污水处理厂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lang w:val="en-US" w:eastAsia="zh-CN" w:bidi="ar"/>
              </w:rPr>
              <w:t>岭背镇犁头村委会原鱼苗场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黄坌镇污水处理厂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黄坌镇黄坌行政村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杨梅镇污水处理厂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8"/>
              <w:keepNext w:val="0"/>
              <w:keepLines w:val="0"/>
              <w:pageBreakBefore w:val="0"/>
              <w:kinsoku/>
              <w:wordWrap/>
              <w:overflowPunct/>
              <w:topLinePunct w:val="0"/>
              <w:autoSpaceDE/>
              <w:autoSpaceDN/>
              <w:bidi w:val="0"/>
              <w:adjustRightInd/>
              <w:snapToGrid/>
              <w:spacing w:line="540" w:lineRule="exact"/>
              <w:ind w:right="16" w:rightChars="8" w:firstLine="0" w:firstLineChars="0"/>
              <w:jc w:val="center"/>
              <w:rPr>
                <w:rFonts w:hint="eastAsia" w:ascii="仿宋" w:hAnsi="仿宋" w:eastAsia="仿宋" w:cs="仿宋"/>
                <w:i w:val="0"/>
                <w:iCs w:val="0"/>
                <w:color w:val="000000"/>
                <w:sz w:val="28"/>
                <w:szCs w:val="28"/>
                <w:u w:val="none"/>
              </w:rPr>
            </w:pPr>
            <w:r>
              <w:rPr>
                <w:rFonts w:hint="default" w:ascii="仿宋_GB2312" w:hAnsi="仿宋_GB2312" w:eastAsia="仿宋_GB2312" w:cs="仿宋_GB2312"/>
                <w:color w:val="000000"/>
                <w:sz w:val="28"/>
                <w:szCs w:val="28"/>
                <w:highlight w:val="none"/>
                <w:vertAlign w:val="baseline"/>
                <w:lang w:val="en-US" w:eastAsia="zh-CN" w:bidi="ar"/>
              </w:rPr>
              <w:t>杨梅镇杨梅村镇卫生院旁</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 w:hAnsi="仿宋" w:eastAsia="仿宋" w:cs="仿宋"/>
          <w:sz w:val="24"/>
          <w:szCs w:val="24"/>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both"/>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 w:hAnsi="仿宋" w:eastAsia="仿宋" w:cs="仿宋"/>
          <w:sz w:val="32"/>
          <w:szCs w:val="32"/>
          <w:lang w:val="en-US" w:eastAsia="zh-CN"/>
        </w:rPr>
        <w:t xml:space="preserve">        </w:t>
      </w:r>
    </w:p>
    <w:p>
      <w:pPr>
        <w:ind w:firstLine="3052" w:firstLineChars="700"/>
        <w:jc w:val="both"/>
        <w:rPr>
          <w:rFonts w:hint="eastAsia" w:ascii="黑体" w:hAnsi="黑体" w:eastAsia="黑体" w:cs="黑体"/>
          <w:sz w:val="44"/>
          <w:szCs w:val="44"/>
          <w:lang w:eastAsia="zh-CN"/>
        </w:rPr>
      </w:pPr>
    </w:p>
    <w:p>
      <w:pPr>
        <w:ind w:firstLine="3052" w:firstLineChars="700"/>
        <w:jc w:val="both"/>
        <w:rPr>
          <w:rFonts w:hint="eastAsia" w:ascii="黑体" w:hAnsi="黑体" w:eastAsia="黑体" w:cs="黑体"/>
          <w:sz w:val="44"/>
          <w:szCs w:val="44"/>
          <w:lang w:eastAsia="zh-CN"/>
        </w:rPr>
      </w:pPr>
      <w:r>
        <w:rPr>
          <w:rFonts w:hint="eastAsia" w:ascii="黑体" w:hAnsi="黑体" w:eastAsia="黑体" w:cs="黑体"/>
          <w:sz w:val="44"/>
          <w:szCs w:val="44"/>
          <w:lang w:eastAsia="zh-CN"/>
        </w:rPr>
        <w:t>用水分类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根据使用性质分</w:t>
      </w:r>
      <w:r>
        <w:rPr>
          <w:rFonts w:hint="eastAsia" w:ascii="仿宋_GB2312" w:hAnsi="仿宋_GB2312" w:eastAsia="仿宋_GB2312" w:cs="仿宋_GB2312"/>
          <w:sz w:val="32"/>
          <w:szCs w:val="32"/>
        </w:rPr>
        <w:t>为居民生活用水、非居民用水、特种用水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居民生活用水主要指城镇居民住宅家庭的日常生活用水</w:t>
      </w:r>
      <w:r>
        <w:rPr>
          <w:rFonts w:hint="eastAsia" w:ascii="仿宋_GB2312" w:hAnsi="仿宋_GB2312" w:eastAsia="仿宋_GB2312" w:cs="仿宋_GB2312"/>
          <w:i w:val="0"/>
          <w:iCs w:val="0"/>
          <w:caps w:val="0"/>
          <w:color w:val="000000"/>
          <w:spacing w:val="0"/>
          <w:sz w:val="32"/>
          <w:szCs w:val="32"/>
          <w:lang w:eastAsia="zh-CN"/>
        </w:rPr>
        <w:t>，以及机关、部队、企事业单位等集体宿舍用水。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32"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i w:val="0"/>
          <w:iCs w:val="0"/>
          <w:caps w:val="0"/>
          <w:color w:val="000000"/>
          <w:spacing w:val="0"/>
          <w:sz w:val="32"/>
          <w:szCs w:val="32"/>
        </w:rPr>
        <w:t>非居民用水主要指工业、经营服务用水和行政事业单位用水、市政用水（环卫、绿化）、生态用水、消防用水等。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32"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特种用水主要包括</w:t>
      </w:r>
      <w:r>
        <w:rPr>
          <w:rFonts w:hint="eastAsia" w:ascii="仿宋_GB2312" w:hAnsi="仿宋_GB2312" w:eastAsia="仿宋_GB2312" w:cs="仿宋_GB2312"/>
          <w:sz w:val="32"/>
          <w:szCs w:val="32"/>
          <w:lang w:val="en-US" w:eastAsia="zh-CN"/>
        </w:rPr>
        <w:t>洗车</w:t>
      </w:r>
      <w:r>
        <w:rPr>
          <w:rFonts w:hint="eastAsia" w:ascii="仿宋_GB2312" w:hAnsi="仿宋_GB2312" w:eastAsia="仿宋_GB2312" w:cs="仿宋_GB2312"/>
          <w:i w:val="0"/>
          <w:iCs w:val="0"/>
          <w:caps w:val="0"/>
          <w:color w:val="000000"/>
          <w:spacing w:val="0"/>
          <w:sz w:val="32"/>
          <w:szCs w:val="32"/>
        </w:rPr>
        <w:t>、以自来水为原料的纯净水生产、高尔夫球场用水等。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i w:val="0"/>
          <w:iCs w:val="0"/>
          <w:caps w:val="0"/>
          <w:color w:val="000000"/>
          <w:spacing w:val="0"/>
          <w:sz w:val="32"/>
          <w:szCs w:val="32"/>
        </w:rPr>
        <w:t>执行居民生活用水价格的非居民用户</w:t>
      </w:r>
      <w:r>
        <w:rPr>
          <w:rFonts w:hint="eastAsia" w:ascii="仿宋_GB2312" w:hAnsi="仿宋_GB2312" w:eastAsia="仿宋_GB2312" w:cs="仿宋_GB2312"/>
          <w:i w:val="0"/>
          <w:iCs w:val="0"/>
          <w:caps w:val="0"/>
          <w:color w:val="000000"/>
          <w:spacing w:val="0"/>
          <w:sz w:val="32"/>
          <w:szCs w:val="32"/>
          <w:lang w:val="en-US" w:eastAsia="zh-CN"/>
        </w:rPr>
        <w:t>包括</w:t>
      </w:r>
      <w:r>
        <w:rPr>
          <w:rFonts w:hint="eastAsia" w:ascii="仿宋_GB2312" w:hAnsi="仿宋_GB2312" w:eastAsia="仿宋_GB2312" w:cs="仿宋_GB2312"/>
          <w:i w:val="0"/>
          <w:iCs w:val="0"/>
          <w:caps w:val="0"/>
          <w:color w:val="000000"/>
          <w:spacing w:val="0"/>
          <w:sz w:val="32"/>
          <w:szCs w:val="32"/>
        </w:rPr>
        <w:t>养老机构、残疾人托养机构等社会福利场所及婴幼儿照护服务机构生活用水、学校教学和学生生活用水、家政企业在社区设置的服务网点用水、宗教场所生活用水、社区组织工作用房和居民公益性服务设施用水等</w:t>
      </w:r>
      <w:r>
        <w:rPr>
          <w:rFonts w:hint="eastAsia" w:ascii="仿宋_GB2312" w:hAnsi="仿宋_GB2312" w:eastAsia="仿宋_GB2312" w:cs="仿宋_GB2312"/>
          <w:i w:val="0"/>
          <w:iCs w:val="0"/>
          <w:caps w:val="0"/>
          <w:color w:val="000000"/>
          <w:spacing w:val="0"/>
          <w:sz w:val="32"/>
          <w:szCs w:val="32"/>
          <w:lang w:eastAsia="zh-CN"/>
        </w:rPr>
        <w:t>。</w:t>
      </w:r>
    </w:p>
    <w:p>
      <w:pPr>
        <w:rPr>
          <w:rFonts w:hint="eastAsia" w:eastAsiaTheme="minorEastAsia"/>
          <w:lang w:eastAsia="zh-CN"/>
        </w:rPr>
      </w:pPr>
    </w:p>
    <w:p/>
    <w:sectPr>
      <w:footerReference r:id="rId3" w:type="default"/>
      <w:pgSz w:w="11906" w:h="16838"/>
      <w:pgMar w:top="2098" w:right="1474" w:bottom="1984" w:left="1587" w:header="851" w:footer="992" w:gutter="0"/>
      <w:pgNumType w:fmt="numberInDash"/>
      <w:cols w:space="0" w:num="1"/>
      <w:rtlGutter w:val="0"/>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-209550</wp:posOffset>
              </wp:positionV>
              <wp:extent cx="582295" cy="3181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2295" cy="3181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5pt;height:25.05pt;width:45.85pt;mso-position-horizontal:outside;mso-position-horizontal-relative:margin;z-index:251659264;mso-width-relative:page;mso-height-relative:page;" filled="f" stroked="f" coordsize="21600,21600" o:gfxdata="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u9lrfVAAAABgEAAA8AAAAAAAAAAQAgAAAAIgAAAGRycy9kb3ducmV2&#10;LnhtbFBLAQIUABQAAAAIAIdO4kArMCZBOAIAAGEEAAAOAAAAAAAAAAEAIAAAACQBAABkcnMvZTJv&#10;RG9jLnhtbFBLBQYAAAAABgAGAFkBAADOBQAAAAA=&#10;">
              <v:fill on="f" focussize="0,0"/>
              <v:stroke on="f" weight="0.5pt"/>
              <v:imagedata o:title=""/>
              <o:lock v:ext="edit" aspectratio="f"/>
              <v:textbox inset="0mm,0mm,0mm,0mm">
                <w:txbxContent>
                  <w:p>
                    <w:pPr>
                      <w:pStyle w:val="3"/>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3"/>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2443F"/>
    <w:rsid w:val="01873E91"/>
    <w:rsid w:val="06287762"/>
    <w:rsid w:val="08F93CEA"/>
    <w:rsid w:val="0D0611E2"/>
    <w:rsid w:val="14657ED6"/>
    <w:rsid w:val="17C71150"/>
    <w:rsid w:val="1ED2443F"/>
    <w:rsid w:val="22CB5324"/>
    <w:rsid w:val="26593253"/>
    <w:rsid w:val="27924180"/>
    <w:rsid w:val="3B9C6214"/>
    <w:rsid w:val="44C4695B"/>
    <w:rsid w:val="4ABE7B78"/>
    <w:rsid w:val="4C147508"/>
    <w:rsid w:val="4C56173B"/>
    <w:rsid w:val="4CA9056B"/>
    <w:rsid w:val="5EBA6A41"/>
    <w:rsid w:val="5F1C0F12"/>
    <w:rsid w:val="60A17FD2"/>
    <w:rsid w:val="6455120F"/>
    <w:rsid w:val="64952682"/>
    <w:rsid w:val="6EF30A62"/>
    <w:rsid w:val="782B18F8"/>
    <w:rsid w:val="7A0B6449"/>
    <w:rsid w:val="7AE96CD5"/>
    <w:rsid w:val="7D4E2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正文缩进1"/>
    <w:qFormat/>
    <w:uiPriority w:val="0"/>
    <w:pPr>
      <w:widowControl w:val="0"/>
      <w:spacing w:line="500" w:lineRule="exact"/>
      <w:ind w:right="26" w:rightChars="8" w:firstLine="640"/>
      <w:jc w:val="both"/>
    </w:pPr>
    <w:rPr>
      <w:rFonts w:ascii="楷体_GB2312" w:hAnsi="Times New Roman" w:eastAsia="楷体_GB2312" w:cs="宋体"/>
      <w:kern w:val="2"/>
      <w:sz w:val="32"/>
      <w:szCs w:val="3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2025-07-25T01:42:00Z</dcterms:created>
  <dc:creator>陈剑宇</dc:creator>
  <cp:lastModifiedBy>陈剑宇</cp:lastModifiedBy>
  <dcterms:modified xsi:type="dcterms:W3CDTF">2025-09-12T02:22:56Z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2A482F755A104782B05AD5DC8E68ED22</vt:lpwstr>
  </property>
</Properties>
</file>