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Calibri" w:eastAsia="仿宋_GB2312" w:cs="仿宋_GB2312"/>
          <w:color w:val="000000"/>
          <w:sz w:val="32"/>
          <w:szCs w:val="32"/>
        </w:rPr>
      </w:pPr>
    </w:p>
    <w:p>
      <w:pPr>
        <w:widowControl/>
        <w:jc w:val="left"/>
        <w:rPr>
          <w:rFonts w:ascii="方正小标宋简体" w:hAnsi="Calibri" w:eastAsia="方正小标宋简体" w:cs="黑体"/>
          <w:color w:val="000000"/>
          <w:sz w:val="44"/>
          <w:szCs w:val="44"/>
        </w:rPr>
      </w:pPr>
      <w:r>
        <w:rPr>
          <w:rFonts w:hint="eastAsia" w:ascii="方正黑体" w:hAnsi="方正黑体" w:eastAsia="方正黑体" w:cs="方正黑体"/>
          <w:color w:val="000000"/>
          <w:sz w:val="32"/>
          <w:szCs w:val="32"/>
        </w:rPr>
        <w:t>附件1</w:t>
      </w:r>
    </w:p>
    <w:p>
      <w:pPr>
        <w:spacing w:line="66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  <w:lang w:eastAsia="zh-CN"/>
        </w:rPr>
        <w:t>海外</w:t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知识产权纠纷应对指导申请书</w:t>
      </w:r>
    </w:p>
    <w:bookmarkEnd w:id="0"/>
    <w:p>
      <w:pPr>
        <w:tabs>
          <w:tab w:val="left" w:pos="5614"/>
        </w:tabs>
        <w:ind w:right="782"/>
        <w:rPr>
          <w:rFonts w:ascii="仿宋" w:hAnsi="仿宋" w:eastAsia="仿宋" w:cs="黑体"/>
          <w:color w:val="000000"/>
          <w:kern w:val="0"/>
          <w:sz w:val="24"/>
          <w:szCs w:val="28"/>
        </w:rPr>
      </w:pPr>
    </w:p>
    <w:tbl>
      <w:tblPr>
        <w:tblStyle w:val="3"/>
        <w:tblW w:w="9083" w:type="dxa"/>
        <w:tblInd w:w="-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19"/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纠纷应对指导申请人类别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企业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 </w:t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社会团体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科研院所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21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69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(统一社会信用代码）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8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pacing w:line="480" w:lineRule="atLeast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8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pacing w:line="480" w:lineRule="atLeast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详细联系地址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pacing w:line="360" w:lineRule="exact"/>
              <w:ind w:firstLine="280" w:firstLineChars="100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exac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涉及纠纷类型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黑体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商标、专利、版权、地理标志等权利有效性纠纷</w:t>
            </w:r>
          </w:p>
          <w:p>
            <w:pPr>
              <w:spacing w:line="360" w:lineRule="exact"/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商标、专利、版权、地理标志等权属纠纷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 </w:t>
            </w:r>
          </w:p>
          <w:p>
            <w:pPr>
              <w:spacing w:line="360" w:lineRule="exact"/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商标、专利、版权、地理标志等侵权纠纷          </w:t>
            </w:r>
          </w:p>
          <w:p>
            <w:pPr>
              <w:spacing w:line="360" w:lineRule="exact"/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商标、专利、版权等相关贸易调查纠纷</w:t>
            </w:r>
          </w:p>
          <w:p>
            <w:pPr>
              <w:spacing w:line="360" w:lineRule="exact"/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商标、专利、版权、地理标志等许可纠纷</w:t>
            </w:r>
          </w:p>
          <w:p>
            <w:pPr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展会知识产权纠纷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t xml:space="preserve"> 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商业秘密纠纷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t xml:space="preserve"> 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涉及权利类别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发明专利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实用新型专利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工业品外观设计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</w:t>
            </w:r>
          </w:p>
          <w:p>
            <w:pPr>
              <w:spacing w:line="360" w:lineRule="exact"/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商标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   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地理标志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集成电路布图设计</w:t>
            </w:r>
          </w:p>
          <w:p>
            <w:pPr>
              <w:spacing w:line="360" w:lineRule="exact"/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版权</w:t>
            </w:r>
          </w:p>
          <w:p>
            <w:pPr>
              <w:spacing w:line="360" w:lineRule="exact"/>
              <w:rPr>
                <w:rFonts w:ascii="仿宋_GB2312" w:hAnsi="Calibri" w:eastAsia="仿宋_GB2312" w:cs="黑体"/>
                <w:color w:val="000000"/>
                <w:spacing w:val="-6"/>
                <w:sz w:val="28"/>
                <w:szCs w:val="24"/>
              </w:rPr>
            </w:pP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其他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纠纷国家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美国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德国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法国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英国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日本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韩国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印度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巴西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俄罗斯 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土耳其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澳大利亚 </w:t>
            </w:r>
          </w:p>
          <w:p>
            <w:pPr>
              <w:spacing w:line="360" w:lineRule="exact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其他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纠纷对象类型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竞争对手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非专利实施实体（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>NPE</w:t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）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高校或研究机构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个人   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其他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纠纷领域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机械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电学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通信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化学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光电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 xml:space="preserve">  </w:t>
            </w: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医药生物</w:t>
            </w:r>
          </w:p>
          <w:p>
            <w:pPr>
              <w:spacing w:line="360" w:lineRule="exact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其他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>（详细说明具体领域）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9" w:hRule="exact"/>
        </w:trPr>
        <w:tc>
          <w:tcPr>
            <w:tcW w:w="2118" w:type="dxa"/>
            <w:noWrap w:val="0"/>
            <w:vAlign w:val="center"/>
          </w:tcPr>
          <w:p>
            <w:pPr>
              <w:spacing w:line="480" w:lineRule="atLeas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纠纷应对指导申请事项</w:t>
            </w:r>
          </w:p>
        </w:tc>
        <w:tc>
          <w:tcPr>
            <w:tcW w:w="69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（阐述纠纷情况和指导需求，可附页）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exact"/>
        </w:trPr>
        <w:tc>
          <w:tcPr>
            <w:tcW w:w="21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纠纷影响预估</w:t>
            </w:r>
          </w:p>
        </w:tc>
        <w:tc>
          <w:tcPr>
            <w:tcW w:w="696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（阐述纠纷可能造成的不良影响和损失，可附页）</w:t>
            </w:r>
          </w:p>
          <w:p>
            <w:pPr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2118" w:type="dxa"/>
            <w:noWrap w:val="0"/>
            <w:vAlign w:val="center"/>
          </w:tcPr>
          <w:p>
            <w:pPr>
              <w:spacing w:line="320" w:lineRule="exact"/>
              <w:ind w:left="140" w:hanging="140" w:hangingChars="50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纠纷级别</w:t>
            </w:r>
          </w:p>
        </w:tc>
        <w:tc>
          <w:tcPr>
            <w:tcW w:w="696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普通纠纷</w:t>
            </w:r>
          </w:p>
          <w:p>
            <w:pPr>
              <w:spacing w:line="360" w:lineRule="exact"/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</w:pPr>
            <w:r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重大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>/</w:t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疑难纠纷（重大</w:t>
            </w:r>
            <w:r>
              <w:rPr>
                <w:rFonts w:ascii="仿宋" w:hAnsi="仿宋" w:eastAsia="仿宋" w:cs="黑体"/>
                <w:color w:val="000000"/>
                <w:spacing w:val="-6"/>
                <w:sz w:val="28"/>
                <w:szCs w:val="22"/>
              </w:rPr>
              <w:t>/</w:t>
            </w:r>
            <w:r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2"/>
              </w:rPr>
              <w:t>疑难纠纷特指影响产业发展、数额特别巨大、波及范围较广的纠纷）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exact"/>
        </w:trPr>
        <w:tc>
          <w:tcPr>
            <w:tcW w:w="2118" w:type="dxa"/>
            <w:noWrap w:val="0"/>
            <w:vAlign w:val="center"/>
          </w:tcPr>
          <w:p>
            <w:pPr>
              <w:spacing w:line="320" w:lineRule="exact"/>
              <w:ind w:left="140" w:hanging="140" w:hangingChars="50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696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Wingdings 2" w:eastAsia="仿宋" w:cs="黑体"/>
                <w:color w:val="000000"/>
                <w:spacing w:val="-6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560" w:lineRule="exact"/>
        <w:jc w:val="left"/>
        <w:rPr>
          <w:rFonts w:hint="eastAsia" w:ascii="方正黑体" w:hAnsi="方正黑体" w:eastAsia="方正黑体" w:cs="方正黑体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方正黑体" w:hAnsi="方正黑体" w:eastAsia="方正黑体" w:cs="方正黑体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方正黑体" w:hAnsi="方正黑体" w:eastAsia="方正黑体" w:cs="方正黑体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方正黑体" w:hAnsi="方正黑体" w:eastAsia="方正黑体" w:cs="方正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05909"/>
    <w:rsid w:val="2B50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2024-12-12T06:52:00Z</dcterms:created>
  <dc:creator>张璐鹭</dc:creator>
  <cp:lastModifiedBy>张璐鹭</cp:lastModifiedBy>
  <dcterms:modified xsi:type="dcterms:W3CDTF">2024-12-12T06:53:24Z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