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宋体" w:hAnsi="宋体" w:eastAsia="宋体" w:cs="宋体"/>
          <w:sz w:val="36"/>
          <w:szCs w:val="36"/>
          <w:vertAlign w:val="baseline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vertAlign w:val="baseline"/>
          <w:lang w:val="en-US" w:eastAsia="zh-CN"/>
        </w:rPr>
        <w:t>管道燃气配气</w:t>
      </w:r>
      <w:r>
        <w:rPr>
          <w:rFonts w:hint="eastAsia" w:ascii="宋体" w:hAnsi="宋体" w:eastAsia="宋体" w:cs="宋体"/>
          <w:sz w:val="36"/>
          <w:szCs w:val="36"/>
          <w:vertAlign w:val="baseline"/>
          <w:lang w:eastAsia="zh-CN"/>
        </w:rPr>
        <w:t>定价成本核定表</w:t>
      </w:r>
    </w:p>
    <w:p>
      <w:pPr>
        <w:pStyle w:val="2"/>
        <w:rPr>
          <w:rFonts w:hint="eastAsia"/>
          <w:lang w:eastAsia="zh-CN"/>
        </w:rPr>
      </w:pP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3"/>
        <w:gridCol w:w="816"/>
        <w:gridCol w:w="1716"/>
        <w:gridCol w:w="1740"/>
        <w:gridCol w:w="1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项 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 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单位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企业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配气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成本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核定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配气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定价成本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说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一、生产与销售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1.设计日供气能力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m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vertAlign w:val="superscript"/>
                <w:lang w:val="en-US" w:eastAsia="zh-CN"/>
              </w:rPr>
              <w:t>3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20,000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20,000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2.实际日供气能力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m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vertAlign w:val="superscript"/>
                <w:lang w:val="en-US" w:eastAsia="zh-CN"/>
              </w:rPr>
              <w:t>3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3.供气总量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m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vertAlign w:val="superscript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/年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1,481,977.50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,481,977.50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4.燃气销售总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量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m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/年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1,437,518.18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1,437,518.18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5.合理配气供销差率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%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6.有效配气量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m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/年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1,437,518.18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1,437,518.18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二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配气定价总成本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元/年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4,119,470.64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3,853,738.65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一）折旧及摊销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元/年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640,909.09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613,810.11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1.固定资产折旧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元/年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507,255.53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544,323.22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2.无形资产摊销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元/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年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133,653.56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69,486.89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二）运行维护费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/年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3,478,561.55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3,239,928.54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1.直接配气成本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/年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329,798.27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329,798.27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2.销售费用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/年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1,316,051.24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922,931.07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3.管理费用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/年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1,832,712.04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1,987,199.20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三、应冲减成本的政府补贴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/年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-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-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四、单位配气定价成本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元/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m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superscript"/>
              </w:rPr>
              <w:t>3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2.870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val="en-US" w:eastAsia="zh-CN"/>
              </w:rPr>
              <w:t>2.681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i w:val="0"/>
                <w:snapToGrid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</w:tbl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27FDE"/>
    <w:rsid w:val="27327FDE"/>
    <w:rsid w:val="3C6C6B40"/>
    <w:rsid w:val="5A934FDF"/>
    <w:rsid w:val="5D85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2024-02-26T02:11:00Z</dcterms:created>
  <dc:creator>邹光远</dc:creator>
  <cp:lastModifiedBy>陈剑宇</cp:lastModifiedBy>
  <dcterms:modified xsi:type="dcterms:W3CDTF">2024-03-20T07:05:51Z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BA4EB7C452E7434EA84EAC8117713DE2</vt:lpwstr>
  </property>
</Properties>
</file>