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t>《</w:t>
      </w:r>
      <w:bookmarkStart w:id="0" w:name="_Toc23179"/>
      <w:r>
        <w:rPr>
          <w:rFonts w:hint="eastAsia" w:ascii="宋体" w:hAnsi="宋体" w:eastAsia="宋体" w:cs="宋体"/>
          <w:sz w:val="32"/>
          <w:szCs w:val="32"/>
          <w:lang w:eastAsia="zh-CN"/>
        </w:rPr>
        <w:t>阳山县城市绿地系统专项规划</w:t>
      </w:r>
      <w:bookmarkEnd w:id="0"/>
      <w:r>
        <w:rPr>
          <w:rFonts w:hint="eastAsia" w:ascii="宋体" w:hAnsi="宋体" w:eastAsia="宋体" w:cs="宋体"/>
          <w:sz w:val="32"/>
          <w:szCs w:val="32"/>
          <w:lang w:eastAsia="zh-CN"/>
        </w:rPr>
        <w:t>（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2022-2035年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）》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t>公示内容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right="0" w:right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规划范围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本规划范围分为两个层次：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县域层次：为阳山县县域范围，总面积为3331.01平方公里。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县城区层次：包括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《清远市阳山县城区总体规划（2004-2020）》城区规划范围及周边。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本规划研究范围为县域范围，重点规划范围为县城区范围。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right="0" w:rightChars="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二、规划期限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本次规划期限为2022-2035年，近期规划至2025年，远期规划至2035年。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360" w:lineRule="auto"/>
        <w:ind w:right="0" w:rightChars="0"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三、规划目标及指标</w:t>
      </w: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2" w:firstLineChars="200"/>
        <w:jc w:val="left"/>
        <w:textAlignment w:val="auto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（一）总体目标</w:t>
      </w: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jc w:val="left"/>
        <w:textAlignment w:val="auto"/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/>
          <w:lang w:eastAsia="zh-CN"/>
        </w:rPr>
        <w:t>本次规划为了</w:t>
      </w: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推进生态文明建设，贯彻绿色发展理念，按照建设“生态阳山、善美阳山”的总体要求，尊重自然，利用地形，结合地貌，充分利用阳山县的江、河、湖、山等自然要素，通过绿地系统的合理规划布局，建立良好的城市生态环境，全力创建“山水宜居城市”、“国家生态园林城市”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360" w:lineRule="auto"/>
        <w:ind w:right="0" w:rightChars="0"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（二）规划指标</w:t>
      </w: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jc w:val="left"/>
        <w:textAlignment w:val="auto"/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近期至2025年，县城建成区绿化覆盖率达38%，绿地率达38</w:t>
      </w:r>
      <w:r>
        <w:rPr>
          <w:rFonts w:hint="default" w:ascii="宋体" w:hAnsi="宋体" w:eastAsia="宋体" w:cs="宋体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%</w:t>
      </w: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，城市人均公园绿地面积不低于14.5㎡/人，城市公园绿地服务半径覆盖率达80</w:t>
      </w:r>
      <w:r>
        <w:rPr>
          <w:rFonts w:hint="default" w:ascii="宋体" w:hAnsi="宋体" w:eastAsia="宋体" w:cs="宋体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%</w:t>
      </w: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。</w:t>
      </w: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jc w:val="left"/>
        <w:textAlignment w:val="auto"/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远期至2035年，中心城区建成区绿化覆盖率达40</w:t>
      </w:r>
      <w:r>
        <w:rPr>
          <w:rFonts w:hint="default" w:ascii="宋体" w:hAnsi="宋体" w:eastAsia="宋体" w:cs="宋体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%</w:t>
      </w: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，绿地率不低于38</w:t>
      </w:r>
      <w:r>
        <w:rPr>
          <w:rFonts w:hint="default" w:ascii="宋体" w:hAnsi="宋体" w:eastAsia="宋体" w:cs="宋体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%</w:t>
      </w: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，城市人均公园绿地面积不低于15㎡/人，城市公园绿地服务半径覆盖率不低于90</w:t>
      </w:r>
      <w:r>
        <w:rPr>
          <w:rFonts w:hint="default" w:ascii="宋体" w:hAnsi="宋体" w:eastAsia="宋体" w:cs="宋体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%</w:t>
      </w: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360" w:lineRule="auto"/>
        <w:ind w:right="0" w:rightChars="0" w:firstLine="482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四、空间结构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（一）县域绿地系统空间结构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本次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县</w:t>
      </w:r>
      <w:r>
        <w:rPr>
          <w:rFonts w:hint="eastAsia" w:ascii="宋体" w:hAnsi="宋体" w:eastAsia="宋体" w:cs="宋体"/>
          <w:sz w:val="24"/>
          <w:szCs w:val="24"/>
        </w:rPr>
        <w:t>域绿地系统结构为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sz w:val="24"/>
          <w:szCs w:val="24"/>
        </w:rPr>
        <w:t>“一核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一带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四片区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szCs w:val="24"/>
        </w:rPr>
        <w:t>一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核”：</w:t>
      </w:r>
      <w:r>
        <w:rPr>
          <w:rFonts w:hint="eastAsia" w:ascii="宋体" w:hAnsi="宋体" w:eastAsia="宋体" w:cs="宋体"/>
          <w:sz w:val="24"/>
          <w:szCs w:val="24"/>
        </w:rPr>
        <w:t>城市核心区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szCs w:val="24"/>
        </w:rPr>
        <w:t>一带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”：</w:t>
      </w:r>
      <w:r>
        <w:rPr>
          <w:rFonts w:hint="eastAsia" w:ascii="宋体" w:hAnsi="宋体" w:eastAsia="宋体" w:cs="宋体"/>
          <w:sz w:val="24"/>
          <w:szCs w:val="24"/>
        </w:rPr>
        <w:t>连江防护带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szCs w:val="24"/>
        </w:rPr>
        <w:t>四片区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”：</w:t>
      </w:r>
      <w:r>
        <w:rPr>
          <w:rFonts w:hint="eastAsia" w:ascii="宋体" w:hAnsi="宋体" w:eastAsia="宋体" w:cs="宋体"/>
          <w:sz w:val="24"/>
          <w:szCs w:val="24"/>
        </w:rPr>
        <w:t>东部生态保护区、南部生态保护区、北部生态保护区、中部生态保护区。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（二）中心城区绿地系统空间结构规划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中心城区的绿地系统结构为：“一轴、三片、多节点”。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“一轴”：指连江滨水景观轴；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“三片”：指城东景观片区；城北景观片区；城西景观片区；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“多节点”：指以多个星罗棋布，分布于各个片区发挥重要景观功能作用的公园及广场景观节点。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360" w:lineRule="auto"/>
        <w:ind w:right="0" w:rightChars="0" w:firstLine="482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五、城市绿地分类规划</w:t>
      </w:r>
    </w:p>
    <w:p>
      <w:pPr>
        <w:pStyle w:val="5"/>
        <w:numPr>
          <w:ilvl w:val="0"/>
          <w:numId w:val="0"/>
        </w:numPr>
        <w:ind w:firstLine="482" w:firstLineChars="200"/>
        <w:rPr>
          <w:rFonts w:hint="default" w:ascii="宋体" w:hAnsi="宋体" w:eastAsia="宋体" w:cs="宋体"/>
          <w:b/>
          <w:bCs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（一）公园绿地规划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4"/>
          <w:szCs w:val="24"/>
          <w:lang w:val="en-US" w:eastAsia="zh-CN" w:bidi="ar"/>
        </w:rPr>
        <w:t>至2035年，规划中心城区公园绿地总面积为255.79公顷，包括综合性公园6个，专类公园16个，社区公园4个；游园19个，公园绿化服务半径覆盖率达到90%以上。</w:t>
      </w:r>
    </w:p>
    <w:p>
      <w:pPr>
        <w:pStyle w:val="5"/>
        <w:numPr>
          <w:ilvl w:val="0"/>
          <w:numId w:val="0"/>
        </w:numPr>
        <w:ind w:firstLine="482" w:firstLineChars="200"/>
        <w:rPr>
          <w:rFonts w:hint="default" w:ascii="宋体" w:hAnsi="宋体" w:eastAsia="宋体" w:cs="宋体"/>
          <w:b/>
          <w:bCs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（二）防护绿地规划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4"/>
          <w:szCs w:val="24"/>
          <w:lang w:val="en-US" w:eastAsia="zh-CN" w:bidi="ar"/>
        </w:rPr>
        <w:t>规划防护绿地总面积91.46顷，绿化覆盖面积92.20公顷，其中规划保留防护绿地面积76.60公顷，规划新增防护绿地面积14.87公顷。</w:t>
      </w:r>
    </w:p>
    <w:p>
      <w:pPr>
        <w:pStyle w:val="5"/>
        <w:numPr>
          <w:ilvl w:val="0"/>
          <w:numId w:val="0"/>
        </w:numPr>
        <w:ind w:firstLine="482" w:firstLineChars="200"/>
        <w:rPr>
          <w:rFonts w:hint="eastAsia" w:ascii="宋体" w:hAnsi="宋体" w:eastAsia="宋体" w:cs="宋体"/>
          <w:b/>
          <w:bCs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（三）广场用地规划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4"/>
          <w:szCs w:val="24"/>
          <w:lang w:val="en-US" w:eastAsia="zh-CN" w:bidi="ar"/>
        </w:rPr>
        <w:t>至2035年，中心城区规划广场用地9.45公顷。广场用地规划布局宜结合公共管理与公共服务设施用地、商业服务用地，以及城市轨道交通、交通枢纽、交通站场用地等用地，并适度控制广场用地规模，单地块一般不超过3公顷，最大不超过5公顷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4"/>
          <w:szCs w:val="24"/>
          <w:lang w:val="en-US" w:eastAsia="zh-CN" w:bidi="ar"/>
        </w:rPr>
        <w:t xml:space="preserve">落实海绵城市建设理念，广场用地应提高透水铺装比例，应用透水铺装增加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4"/>
          <w:szCs w:val="24"/>
          <w:lang w:val="en-US" w:eastAsia="zh-CN" w:bidi="ar"/>
        </w:rPr>
        <w:t>下渗，注重排水坡度与排水沟的设置。结合现状高程，因地制宜设置下沉式广场 降低峰值径流量，提升城市生态韧性。</w:t>
      </w:r>
    </w:p>
    <w:p>
      <w:pPr>
        <w:pStyle w:val="3"/>
        <w:numPr>
          <w:ilvl w:val="0"/>
          <w:numId w:val="0"/>
        </w:numPr>
        <w:ind w:right="210" w:rightChars="100"/>
        <w:rPr>
          <w:rFonts w:hint="eastAsia" w:ascii="宋体" w:hAnsi="宋体" w:eastAsia="宋体" w:cs="宋体"/>
          <w:b/>
          <w:bCs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（四）附属绿地规划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4"/>
          <w:szCs w:val="24"/>
          <w:lang w:val="en-US" w:eastAsia="zh-CN" w:bidi="ar"/>
        </w:rPr>
        <w:t>至2035年，规划附属绿地总面积587.42公顷，其中，规划保留附属绿地面积91.32公顷，规划新增附属绿地面积496.10公顷。附属绿地规划建设与城市土地开发建设同步推进。</w:t>
      </w:r>
    </w:p>
    <w:p>
      <w:pPr>
        <w:pStyle w:val="3"/>
        <w:numPr>
          <w:ilvl w:val="0"/>
          <w:numId w:val="0"/>
        </w:numPr>
        <w:ind w:right="210" w:rightChars="100"/>
        <w:rPr>
          <w:rFonts w:hint="default" w:ascii="宋体" w:hAnsi="宋体" w:eastAsia="宋体" w:cs="宋体"/>
          <w:b/>
          <w:bCs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（五）</w:t>
      </w:r>
      <w:r>
        <w:rPr>
          <w:rFonts w:hint="default" w:ascii="宋体" w:hAnsi="宋体" w:eastAsia="宋体" w:cs="宋体"/>
          <w:b/>
          <w:bCs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区域绿地</w:t>
      </w:r>
      <w:r>
        <w:rPr>
          <w:rFonts w:hint="eastAsia" w:ascii="宋体" w:hAnsi="宋体" w:eastAsia="宋体" w:cs="宋体"/>
          <w:b/>
          <w:bCs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规划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9"/>
        <w:rPr>
          <w:rFonts w:hint="eastAsia"/>
          <w:color w:val="00000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至2035年，规划区域绿地面积86.36公顷，包括阳城镇畔水管理区内区域绿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地和城北水库生态园</w:t>
      </w:r>
      <w:r>
        <w:rPr>
          <w:rFonts w:hint="eastAsia"/>
          <w:color w:val="000000"/>
          <w:spacing w:val="0"/>
          <w:w w:val="100"/>
          <w:position w:val="0"/>
          <w:sz w:val="24"/>
          <w:szCs w:val="24"/>
          <w:lang w:eastAsia="zh-CN"/>
        </w:rPr>
        <w:t>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360" w:lineRule="auto"/>
        <w:ind w:right="0" w:rightChars="0" w:firstLine="482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六、城市绿地防灾避险规划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到2035 年，中心城区规划防灾避险绿地面积141.65公顷，中期避险绿地58.63公顷、短期避险绿地54.56公顷、紧急避险绿地28.46公顷，长期避险绿地主要为区域绿地；有效避险面积54.35公顷，人均有效避难绿地面积达到3.20平方米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360" w:lineRule="auto"/>
        <w:ind w:right="0" w:rightChars="0" w:firstLine="482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七、树种规划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（一）基调树种规划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规划确定阳山县基调树种共4种，分别为细叶榕、樟树、桂花、木棉。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（二）骨干树种规划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结合阳山县地方现有树种，选择骨干树种有小叶榄仁、樟树、阴香、大叶榕、木棉、大叶杜英、银桦、盆架子。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360" w:lineRule="auto"/>
        <w:ind w:right="0" w:rightChars="0" w:firstLine="482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八、近期建设规划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sectPr>
          <w:footerReference r:id="rId3" w:type="default"/>
          <w:pgSz w:w="11906" w:h="16838"/>
          <w:pgMar w:top="1440" w:right="1803" w:bottom="1440" w:left="1803" w:header="851" w:footer="992" w:gutter="0"/>
          <w:cols w:space="0" w:num="1"/>
          <w:rtlGutter w:val="0"/>
          <w:docGrid w:type="lines" w:linePitch="317" w:charSpace="0"/>
        </w:sect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至2025年，以完善现状建成区公园绿地、广场用地及道路绿化景观为主，规划建设城市公园绿地面积103.26公顷，包括提升3处现状公园，规划新建8处公园；规划建设2处广场，广场面积为2.00公顷；提升阳山大道、连江大道、韩愈路绿化景观品质，打造城市特色景观路。</w:t>
      </w:r>
      <w:bookmarkStart w:id="1" w:name="_GoBack"/>
      <w:bookmarkEnd w:id="1"/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jc w:val="center"/>
        <w:textAlignment w:val="auto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1577320" cy="8361045"/>
            <wp:effectExtent l="0" t="0" r="5080" b="1905"/>
            <wp:docPr id="11" name="图片 11" descr="01区位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1区位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577320" cy="83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1829415" cy="8361045"/>
            <wp:effectExtent l="0" t="0" r="635" b="1905"/>
            <wp:docPr id="10" name="图片 10" descr="03县域绿地系统结构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3县域绿地系统结构规划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829415" cy="83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1824970" cy="8361045"/>
            <wp:effectExtent l="0" t="0" r="5080" b="1905"/>
            <wp:docPr id="9" name="图片 9" descr="04中心城区绿地系统结构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4中心城区绿地系统结构规划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824970" cy="83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1824970" cy="8361045"/>
            <wp:effectExtent l="0" t="0" r="5080" b="1905"/>
            <wp:docPr id="8" name="图片 8" descr="05中心城区绿地系统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5中心城区绿地系统规划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824970" cy="83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1577320" cy="8361045"/>
            <wp:effectExtent l="0" t="0" r="5080" b="1905"/>
            <wp:docPr id="7" name="图片 7" descr="06中心城区公园绿地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6中心城区公园绿地规划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577320" cy="83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1577320" cy="8361045"/>
            <wp:effectExtent l="0" t="0" r="5080" b="1905"/>
            <wp:docPr id="6" name="图片 6" descr="08 中心城区防护绿地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8 中心城区防护绿地规划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577320" cy="83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1577320" cy="8361045"/>
            <wp:effectExtent l="0" t="0" r="5080" b="1905"/>
            <wp:docPr id="5" name="图片 5" descr="09中心城区广场用地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9中心城区广场用地规划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577320" cy="83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1824970" cy="8361045"/>
            <wp:effectExtent l="0" t="0" r="5080" b="1905"/>
            <wp:docPr id="4" name="图片 4" descr="10中心城区附属绿地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中心城区附属绿地规划图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824970" cy="83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1572875" cy="8358505"/>
            <wp:effectExtent l="0" t="0" r="9525" b="4445"/>
            <wp:docPr id="3" name="图片 3" descr="11中心城区区域绿地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中心城区区域绿地规划图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572875" cy="835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1824970" cy="8361045"/>
            <wp:effectExtent l="0" t="0" r="5080" b="1905"/>
            <wp:docPr id="2" name="图片 2" descr="12中心城区防灾避险绿地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中心城区防灾避险绿地规划图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824970" cy="83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1824970" cy="8361045"/>
            <wp:effectExtent l="0" t="0" r="5080" b="1905"/>
            <wp:docPr id="1" name="图片 1" descr="14中心城区绿地系统近期建设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4中心城区绿地系统近期建设规划图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824970" cy="83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23757" w:h="16783" w:orient="landscape"/>
      <w:pgMar w:top="1803" w:right="1440" w:bottom="1803" w:left="1440" w:header="851" w:footer="992" w:gutter="0"/>
      <w:cols w:space="0" w:num="1"/>
      <w:rtlGutter w:val="0"/>
      <w:docGrid w:type="lines" w:linePitch="31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3" name="文本框 1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FvUZ8zAgAAZQ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FvUZ8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A3ZWVhY2JkNzNiMTUwYjhiYTdlYmQwNDg0MmFmODEifQ=="/>
  </w:docVars>
  <w:rsids>
    <w:rsidRoot w:val="7AB43602"/>
    <w:rsid w:val="000B5868"/>
    <w:rsid w:val="004425C1"/>
    <w:rsid w:val="01924B58"/>
    <w:rsid w:val="02296326"/>
    <w:rsid w:val="031533E6"/>
    <w:rsid w:val="05215C9A"/>
    <w:rsid w:val="0622219B"/>
    <w:rsid w:val="06425D09"/>
    <w:rsid w:val="06DA2C7F"/>
    <w:rsid w:val="06DF2215"/>
    <w:rsid w:val="0C203277"/>
    <w:rsid w:val="0F35216A"/>
    <w:rsid w:val="10027266"/>
    <w:rsid w:val="12A33082"/>
    <w:rsid w:val="166A0E83"/>
    <w:rsid w:val="18A230A3"/>
    <w:rsid w:val="19D8069E"/>
    <w:rsid w:val="1CFA34AD"/>
    <w:rsid w:val="1D543842"/>
    <w:rsid w:val="23096D72"/>
    <w:rsid w:val="26304815"/>
    <w:rsid w:val="26C15F99"/>
    <w:rsid w:val="27541561"/>
    <w:rsid w:val="29404D27"/>
    <w:rsid w:val="2AEB3DE3"/>
    <w:rsid w:val="2D642A55"/>
    <w:rsid w:val="341A5FB4"/>
    <w:rsid w:val="38D9778B"/>
    <w:rsid w:val="3D5B18EE"/>
    <w:rsid w:val="3E0A124F"/>
    <w:rsid w:val="449333FD"/>
    <w:rsid w:val="460179F8"/>
    <w:rsid w:val="4BA17066"/>
    <w:rsid w:val="4BCD1541"/>
    <w:rsid w:val="4CBE11B0"/>
    <w:rsid w:val="4EC61BBE"/>
    <w:rsid w:val="5335249B"/>
    <w:rsid w:val="548337C0"/>
    <w:rsid w:val="55326F81"/>
    <w:rsid w:val="555A336D"/>
    <w:rsid w:val="55CF2D81"/>
    <w:rsid w:val="58460242"/>
    <w:rsid w:val="59141EB5"/>
    <w:rsid w:val="5CD22403"/>
    <w:rsid w:val="5DED2098"/>
    <w:rsid w:val="5F39314B"/>
    <w:rsid w:val="605A6DC0"/>
    <w:rsid w:val="61377DF9"/>
    <w:rsid w:val="64B452BD"/>
    <w:rsid w:val="65F1488F"/>
    <w:rsid w:val="675D15A7"/>
    <w:rsid w:val="687C07E7"/>
    <w:rsid w:val="6BDA1AD3"/>
    <w:rsid w:val="6D162EC0"/>
    <w:rsid w:val="6DF206A9"/>
    <w:rsid w:val="6E34121C"/>
    <w:rsid w:val="6FA32322"/>
    <w:rsid w:val="736B748E"/>
    <w:rsid w:val="73754A13"/>
    <w:rsid w:val="74D15503"/>
    <w:rsid w:val="75D237F5"/>
    <w:rsid w:val="767A2AE5"/>
    <w:rsid w:val="78DE0702"/>
    <w:rsid w:val="79654E62"/>
    <w:rsid w:val="7AB43602"/>
    <w:rsid w:val="7AC5601E"/>
    <w:rsid w:val="7E811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iPriority="39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3"/>
    <w:semiHidden/>
    <w:unhideWhenUsed/>
    <w:qFormat/>
    <w:uiPriority w:val="99"/>
    <w:pPr>
      <w:spacing w:before="0" w:after="0" w:afterLines="0"/>
      <w:ind w:left="100" w:leftChars="100" w:right="100" w:rightChars="100"/>
      <w:jc w:val="left"/>
    </w:pPr>
    <w:rPr>
      <w:rFonts w:ascii="仿宋_GB2312" w:hAnsi="Times New Roman" w:eastAsia="仿宋_GB2312"/>
      <w:sz w:val="28"/>
      <w:szCs w:val="24"/>
    </w:rPr>
  </w:style>
  <w:style w:type="paragraph" w:styleId="3">
    <w:name w:val="Body Text First Indent"/>
    <w:basedOn w:val="4"/>
    <w:semiHidden/>
    <w:unhideWhenUsed/>
    <w:qFormat/>
    <w:uiPriority w:val="99"/>
    <w:pPr>
      <w:ind w:firstLine="420" w:firstLineChars="100"/>
    </w:pPr>
  </w:style>
  <w:style w:type="paragraph" w:styleId="4">
    <w:name w:val="Body Text"/>
    <w:basedOn w:val="1"/>
    <w:next w:val="5"/>
    <w:qFormat/>
    <w:uiPriority w:val="99"/>
    <w:pPr>
      <w:spacing w:before="0" w:after="0" w:afterLines="0" w:line="240" w:lineRule="auto"/>
      <w:ind w:right="100" w:rightChars="100" w:firstLine="0" w:firstLineChars="0"/>
    </w:pPr>
    <w:rPr>
      <w:rFonts w:ascii="Times New Roman" w:hAnsi="Times New Roman"/>
      <w:kern w:val="0"/>
      <w:sz w:val="20"/>
      <w:szCs w:val="24"/>
    </w:rPr>
  </w:style>
  <w:style w:type="paragraph" w:styleId="5">
    <w:name w:val="toc 5"/>
    <w:basedOn w:val="1"/>
    <w:next w:val="1"/>
    <w:unhideWhenUsed/>
    <w:qFormat/>
    <w:uiPriority w:val="39"/>
    <w:pPr>
      <w:spacing w:line="240" w:lineRule="auto"/>
      <w:ind w:left="1680" w:leftChars="800" w:firstLine="0" w:firstLineChars="0"/>
    </w:pPr>
    <w:rPr>
      <w:rFonts w:eastAsiaTheme="minorEastAsia"/>
      <w:sz w:val="21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1462</Words>
  <Characters>1607</Characters>
  <Lines>0</Lines>
  <Paragraphs>0</Paragraphs>
  <TotalTime>134</TotalTime>
  <ScaleCrop>false</ScaleCrop>
  <LinksUpToDate>false</LinksUpToDate>
  <CharactersWithSpaces>1609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2022-08-06T06:42:00Z</dcterms:created>
  <dc:creator>YX</dc:creator>
  <cp:lastModifiedBy>YX</cp:lastModifiedBy>
  <dcterms:modified xsi:type="dcterms:W3CDTF">2023-02-05T14:25:34Z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ABF9C12542EB429EB25390B3A6053EB6</vt:lpwstr>
  </property>
</Properties>
</file>